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AD4F05" w:rsidRDefault="006544C4" w:rsidP="005450A6">
      <w:pPr>
        <w:jc w:val="center"/>
        <w:rPr>
          <w:lang w:val="fr-FR"/>
        </w:rPr>
      </w:pPr>
      <w:bookmarkStart w:id="0" w:name="_GoBack"/>
      <w:bookmarkEnd w:id="0"/>
    </w:p>
    <w:p w:rsidR="006544C4" w:rsidRPr="00AD4F05" w:rsidRDefault="006544C4" w:rsidP="005450A6">
      <w:pPr>
        <w:jc w:val="center"/>
        <w:rPr>
          <w:lang w:val="fr-FR"/>
        </w:rPr>
      </w:pPr>
    </w:p>
    <w:p w:rsidR="006544C4" w:rsidRPr="00AD4F05" w:rsidRDefault="00F606DC" w:rsidP="005450A6">
      <w:pPr>
        <w:pStyle w:val="DecHTitle"/>
        <w:rPr>
          <w:lang w:val="fr-FR"/>
        </w:rPr>
      </w:pPr>
      <w:r>
        <w:rPr>
          <w:szCs w:val="24"/>
          <w:lang w:val="fr-FR"/>
        </w:rPr>
        <w:t>QUATRIÈME SECTION</w:t>
      </w:r>
    </w:p>
    <w:p w:rsidR="006544C4" w:rsidRPr="00AD4F05" w:rsidRDefault="006544C4" w:rsidP="005450A6">
      <w:pPr>
        <w:pStyle w:val="DecHTitle"/>
        <w:rPr>
          <w:caps/>
          <w:sz w:val="32"/>
          <w:lang w:val="fr-FR"/>
        </w:rPr>
      </w:pPr>
      <w:r w:rsidRPr="00AD4F05">
        <w:rPr>
          <w:lang w:val="fr-FR"/>
        </w:rPr>
        <w:t>DÉCISION</w:t>
      </w:r>
    </w:p>
    <w:p w:rsidR="006544C4" w:rsidRPr="00AD4F05" w:rsidRDefault="00F606DC" w:rsidP="005450A6">
      <w:pPr>
        <w:pStyle w:val="ECHRTitleCentre2"/>
        <w:rPr>
          <w:lang w:val="fr-FR"/>
        </w:rPr>
      </w:pPr>
      <w:r w:rsidRPr="00AD4F05">
        <w:rPr>
          <w:lang w:val="fr-FR"/>
        </w:rPr>
        <w:t>Requête n</w:t>
      </w:r>
      <w:r w:rsidRPr="00AD4F05">
        <w:rPr>
          <w:vertAlign w:val="superscript"/>
          <w:lang w:val="fr-FR"/>
        </w:rPr>
        <w:t>o</w:t>
      </w:r>
      <w:r w:rsidR="006544C4" w:rsidRPr="00AD4F05">
        <w:rPr>
          <w:lang w:val="fr-FR"/>
        </w:rPr>
        <w:t xml:space="preserve"> </w:t>
      </w:r>
      <w:r>
        <w:rPr>
          <w:lang w:val="fr-FR"/>
        </w:rPr>
        <w:t>70462/13</w:t>
      </w:r>
      <w:r w:rsidR="006544C4" w:rsidRPr="00AD4F05">
        <w:rPr>
          <w:lang w:val="fr-FR"/>
        </w:rPr>
        <w:br/>
      </w:r>
      <w:r>
        <w:rPr>
          <w:lang w:val="fr-FR"/>
        </w:rPr>
        <w:t>Gaetano Davide</w:t>
      </w:r>
      <w:r w:rsidRPr="00AD4F05">
        <w:rPr>
          <w:lang w:val="fr-FR"/>
        </w:rPr>
        <w:t xml:space="preserve"> </w:t>
      </w:r>
      <w:r>
        <w:rPr>
          <w:lang w:val="fr-FR"/>
        </w:rPr>
        <w:t>GRECO</w:t>
      </w:r>
      <w:r w:rsidRPr="00AD4F05">
        <w:rPr>
          <w:lang w:val="fr-FR"/>
        </w:rPr>
        <w:br/>
      </w:r>
      <w:r w:rsidR="006544C4" w:rsidRPr="00AD4F05">
        <w:rPr>
          <w:lang w:val="fr-FR"/>
        </w:rPr>
        <w:t xml:space="preserve">contre </w:t>
      </w:r>
      <w:r w:rsidRPr="00AD4F05">
        <w:rPr>
          <w:lang w:val="fr-FR"/>
        </w:rPr>
        <w:t>l</w:t>
      </w:r>
      <w:r w:rsidR="00BF495C">
        <w:rPr>
          <w:lang w:val="fr-FR"/>
        </w:rPr>
        <w:t>’</w:t>
      </w:r>
      <w:r>
        <w:rPr>
          <w:lang w:val="fr-FR"/>
        </w:rPr>
        <w:t>Italie</w:t>
      </w:r>
    </w:p>
    <w:p w:rsidR="00F606DC" w:rsidRPr="0072720E" w:rsidRDefault="00F606DC" w:rsidP="005450A6">
      <w:pPr>
        <w:pStyle w:val="ECHRPara"/>
        <w:rPr>
          <w:lang w:val="fr-FR"/>
        </w:rPr>
      </w:pPr>
      <w:r w:rsidRPr="0072720E">
        <w:rPr>
          <w:lang w:val="fr-FR"/>
        </w:rPr>
        <w:t>La Cour européenne des droits de l</w:t>
      </w:r>
      <w:r w:rsidR="00BF495C">
        <w:rPr>
          <w:lang w:val="fr-FR"/>
        </w:rPr>
        <w:t>’</w:t>
      </w:r>
      <w:r w:rsidRPr="0072720E">
        <w:rPr>
          <w:lang w:val="fr-FR"/>
        </w:rPr>
        <w:t>homme (</w:t>
      </w:r>
      <w:r>
        <w:rPr>
          <w:lang w:val="fr-FR"/>
        </w:rPr>
        <w:t>quatrième section</w:t>
      </w:r>
      <w:r w:rsidRPr="0072720E">
        <w:rPr>
          <w:lang w:val="fr-FR"/>
        </w:rPr>
        <w:t xml:space="preserve">), siégeant le </w:t>
      </w:r>
      <w:r>
        <w:rPr>
          <w:lang w:val="fr-FR"/>
        </w:rPr>
        <w:t>1</w:t>
      </w:r>
      <w:r w:rsidRPr="00F606DC">
        <w:rPr>
          <w:vertAlign w:val="superscript"/>
          <w:lang w:val="fr-FR"/>
        </w:rPr>
        <w:t>er</w:t>
      </w:r>
      <w:r>
        <w:rPr>
          <w:lang w:val="fr-FR"/>
        </w:rPr>
        <w:t xml:space="preserve"> septembre</w:t>
      </w:r>
      <w:r w:rsidRPr="0072720E">
        <w:rPr>
          <w:lang w:val="fr-FR"/>
        </w:rPr>
        <w:t xml:space="preserve"> en une </w:t>
      </w:r>
      <w:r>
        <w:rPr>
          <w:lang w:val="fr-FR"/>
        </w:rPr>
        <w:t>Chambre</w:t>
      </w:r>
      <w:r w:rsidRPr="0072720E">
        <w:rPr>
          <w:lang w:val="fr-FR"/>
        </w:rPr>
        <w:t xml:space="preserve"> composée de :</w:t>
      </w:r>
    </w:p>
    <w:p w:rsidR="00F606DC" w:rsidRPr="00421F1F" w:rsidRDefault="00F606DC" w:rsidP="00BF495C">
      <w:pPr>
        <w:pStyle w:val="ECHRDecisionBody"/>
        <w:rPr>
          <w:lang w:val="fr-FR"/>
        </w:rPr>
      </w:pPr>
      <w:r w:rsidRPr="00421F1F">
        <w:rPr>
          <w:lang w:val="fr-FR"/>
        </w:rPr>
        <w:tab/>
        <w:t>Päivi Hirvelä,</w:t>
      </w:r>
      <w:r w:rsidRPr="00421F1F">
        <w:rPr>
          <w:i/>
          <w:lang w:val="fr-FR"/>
        </w:rPr>
        <w:t xml:space="preserve"> présidente,</w:t>
      </w:r>
      <w:r w:rsidRPr="00421F1F">
        <w:rPr>
          <w:i/>
          <w:lang w:val="fr-FR"/>
        </w:rPr>
        <w:br/>
      </w:r>
      <w:r w:rsidRPr="00421F1F">
        <w:rPr>
          <w:lang w:val="fr-FR"/>
        </w:rPr>
        <w:tab/>
        <w:t>Guido Raimondi,</w:t>
      </w:r>
      <w:r w:rsidRPr="00421F1F">
        <w:rPr>
          <w:i/>
          <w:lang w:val="fr-FR"/>
        </w:rPr>
        <w:br/>
      </w:r>
      <w:r w:rsidRPr="00421F1F">
        <w:rPr>
          <w:lang w:val="fr-FR"/>
        </w:rPr>
        <w:tab/>
        <w:t>Ledi Bianku,</w:t>
      </w:r>
      <w:r w:rsidRPr="00421F1F">
        <w:rPr>
          <w:i/>
          <w:lang w:val="fr-FR"/>
        </w:rPr>
        <w:br/>
      </w:r>
      <w:r w:rsidRPr="00421F1F">
        <w:rPr>
          <w:lang w:val="fr-FR"/>
        </w:rPr>
        <w:tab/>
        <w:t>Nona Tsotsoria,</w:t>
      </w:r>
      <w:r w:rsidRPr="00421F1F">
        <w:rPr>
          <w:i/>
          <w:lang w:val="fr-FR"/>
        </w:rPr>
        <w:br/>
      </w:r>
      <w:r w:rsidRPr="00421F1F">
        <w:rPr>
          <w:lang w:val="fr-FR"/>
        </w:rPr>
        <w:tab/>
        <w:t>Paul Mahoney,</w:t>
      </w:r>
      <w:r w:rsidRPr="00421F1F">
        <w:rPr>
          <w:i/>
          <w:lang w:val="fr-FR"/>
        </w:rPr>
        <w:br/>
      </w:r>
      <w:r w:rsidRPr="00421F1F">
        <w:rPr>
          <w:lang w:val="fr-FR"/>
        </w:rPr>
        <w:tab/>
        <w:t>Faris Vehabović,</w:t>
      </w:r>
      <w:r w:rsidRPr="00421F1F">
        <w:rPr>
          <w:i/>
          <w:lang w:val="fr-FR"/>
        </w:rPr>
        <w:br/>
      </w:r>
      <w:r w:rsidRPr="00421F1F">
        <w:rPr>
          <w:lang w:val="fr-FR"/>
        </w:rPr>
        <w:tab/>
        <w:t>Yonko Grozev,</w:t>
      </w:r>
      <w:r w:rsidRPr="00421F1F">
        <w:rPr>
          <w:i/>
          <w:lang w:val="fr-FR"/>
        </w:rPr>
        <w:t xml:space="preserve"> juges,</w:t>
      </w:r>
    </w:p>
    <w:p w:rsidR="00F606DC" w:rsidRPr="0072720E" w:rsidRDefault="00F606DC" w:rsidP="00BF495C">
      <w:pPr>
        <w:pStyle w:val="ECHRDecisionBody"/>
        <w:rPr>
          <w:lang w:val="fr-FR"/>
        </w:rPr>
      </w:pPr>
      <w:r w:rsidRPr="0072720E">
        <w:rPr>
          <w:lang w:val="fr-FR"/>
        </w:rPr>
        <w:t xml:space="preserve">et de </w:t>
      </w:r>
      <w:r w:rsidR="00421F1F" w:rsidRPr="00421F1F">
        <w:rPr>
          <w:rStyle w:val="JuJudgesChar"/>
          <w:szCs w:val="24"/>
          <w:lang w:val="fr-FR"/>
        </w:rPr>
        <w:t>Fatoş Aracı</w:t>
      </w:r>
      <w:r w:rsidRPr="0072720E">
        <w:rPr>
          <w:lang w:val="fr-FR"/>
        </w:rPr>
        <w:t xml:space="preserve">, </w:t>
      </w:r>
      <w:r w:rsidRPr="0072720E">
        <w:rPr>
          <w:i/>
          <w:lang w:val="fr-FR"/>
        </w:rPr>
        <w:t>greffière</w:t>
      </w:r>
      <w:r w:rsidRPr="0072720E">
        <w:rPr>
          <w:i/>
          <w:iCs/>
          <w:lang w:val="fr-FR"/>
        </w:rPr>
        <w:t xml:space="preserve"> </w:t>
      </w:r>
      <w:r w:rsidR="00421F1F">
        <w:rPr>
          <w:i/>
          <w:iCs/>
          <w:lang w:val="fr-FR"/>
        </w:rPr>
        <w:t xml:space="preserve">adjointe </w:t>
      </w:r>
      <w:r w:rsidRPr="0072720E">
        <w:rPr>
          <w:i/>
          <w:iCs/>
          <w:lang w:val="fr-FR"/>
        </w:rPr>
        <w:t>d</w:t>
      </w:r>
      <w:r w:rsidRPr="0072720E">
        <w:rPr>
          <w:i/>
          <w:lang w:val="fr-FR"/>
        </w:rPr>
        <w:t>e section,</w:t>
      </w:r>
    </w:p>
    <w:p w:rsidR="00F606DC" w:rsidRPr="0072720E" w:rsidRDefault="00F606DC" w:rsidP="005450A6">
      <w:pPr>
        <w:pStyle w:val="ECHRPara"/>
        <w:rPr>
          <w:lang w:val="fr-FR"/>
        </w:rPr>
      </w:pPr>
      <w:r w:rsidRPr="0072720E">
        <w:rPr>
          <w:lang w:val="fr-FR"/>
        </w:rPr>
        <w:t xml:space="preserve">Vu la requête susmentionnée introduite le </w:t>
      </w:r>
      <w:r>
        <w:rPr>
          <w:lang w:val="fr-FR"/>
        </w:rPr>
        <w:t>28 octobre 2013</w:t>
      </w:r>
      <w:r w:rsidRPr="0072720E">
        <w:rPr>
          <w:lang w:val="fr-FR"/>
        </w:rPr>
        <w:t>,</w:t>
      </w:r>
    </w:p>
    <w:p w:rsidR="00F606DC" w:rsidRPr="0072720E" w:rsidRDefault="00F606DC" w:rsidP="005450A6">
      <w:pPr>
        <w:pStyle w:val="ECHRPara"/>
        <w:rPr>
          <w:color w:val="000000"/>
          <w:lang w:val="fr-FR"/>
        </w:rPr>
      </w:pPr>
      <w:r w:rsidRPr="0072720E">
        <w:rPr>
          <w:lang w:val="fr-FR"/>
        </w:rPr>
        <w:t>Après en avoir délibéré</w:t>
      </w:r>
      <w:r>
        <w:rPr>
          <w:lang w:val="fr-FR"/>
        </w:rPr>
        <w:t>, rend la décision suivante :</w:t>
      </w:r>
    </w:p>
    <w:p w:rsidR="00F606DC" w:rsidRPr="0072720E" w:rsidRDefault="00F606DC" w:rsidP="005450A6">
      <w:pPr>
        <w:pStyle w:val="ECHRTitle1"/>
        <w:rPr>
          <w:lang w:val="fr-FR"/>
        </w:rPr>
      </w:pPr>
      <w:r w:rsidRPr="0072720E">
        <w:rPr>
          <w:lang w:val="fr-FR"/>
        </w:rPr>
        <w:t>EN FAIT</w:t>
      </w:r>
    </w:p>
    <w:p w:rsidR="00F606DC" w:rsidRPr="0072720E" w:rsidRDefault="00F606DC" w:rsidP="005450A6">
      <w:pPr>
        <w:pStyle w:val="ECHRPara"/>
        <w:rPr>
          <w:lang w:val="fr-FR"/>
        </w:rPr>
      </w:pPr>
      <w:r>
        <w:rPr>
          <w:lang w:val="fr-FR"/>
        </w:rPr>
        <w:t>1.  </w:t>
      </w:r>
      <w:r w:rsidRPr="0072720E">
        <w:rPr>
          <w:lang w:val="fr-FR"/>
        </w:rPr>
        <w:t xml:space="preserve">Le requérant, </w:t>
      </w:r>
      <w:r>
        <w:rPr>
          <w:lang w:val="fr-FR"/>
        </w:rPr>
        <w:t>M.</w:t>
      </w:r>
      <w:r w:rsidRPr="0072720E">
        <w:rPr>
          <w:lang w:val="fr-FR"/>
        </w:rPr>
        <w:t xml:space="preserve"> </w:t>
      </w:r>
      <w:r>
        <w:rPr>
          <w:lang w:val="fr-FR"/>
        </w:rPr>
        <w:t>Gaetano Davide</w:t>
      </w:r>
      <w:r w:rsidRPr="0072720E">
        <w:rPr>
          <w:lang w:val="fr-FR"/>
        </w:rPr>
        <w:t xml:space="preserve"> </w:t>
      </w:r>
      <w:r>
        <w:rPr>
          <w:lang w:val="fr-FR"/>
        </w:rPr>
        <w:t>Greco</w:t>
      </w:r>
      <w:r w:rsidRPr="0072720E">
        <w:rPr>
          <w:lang w:val="fr-FR"/>
        </w:rPr>
        <w:t xml:space="preserve">, est un ressortissant </w:t>
      </w:r>
      <w:r>
        <w:rPr>
          <w:lang w:val="fr-FR"/>
        </w:rPr>
        <w:t>italien</w:t>
      </w:r>
      <w:r w:rsidRPr="0072720E">
        <w:rPr>
          <w:lang w:val="fr-FR"/>
        </w:rPr>
        <w:t xml:space="preserve"> né en </w:t>
      </w:r>
      <w:r>
        <w:rPr>
          <w:lang w:val="fr-FR"/>
        </w:rPr>
        <w:t>1968</w:t>
      </w:r>
      <w:r w:rsidRPr="0072720E">
        <w:rPr>
          <w:lang w:val="fr-FR"/>
        </w:rPr>
        <w:t xml:space="preserve"> et </w:t>
      </w:r>
      <w:r w:rsidRPr="00936218">
        <w:rPr>
          <w:lang w:val="fr-FR"/>
        </w:rPr>
        <w:t>résidant</w:t>
      </w:r>
      <w:r w:rsidRPr="0072720E">
        <w:rPr>
          <w:lang w:val="fr-FR"/>
        </w:rPr>
        <w:t xml:space="preserve"> à </w:t>
      </w:r>
      <w:r>
        <w:rPr>
          <w:lang w:val="fr-FR"/>
        </w:rPr>
        <w:t>Marsala</w:t>
      </w:r>
      <w:r w:rsidRPr="0072720E">
        <w:rPr>
          <w:lang w:val="fr-FR"/>
        </w:rPr>
        <w:t>. Il a été représenté devant la Cour par M</w:t>
      </w:r>
      <w:r w:rsidRPr="0072720E">
        <w:rPr>
          <w:vertAlign w:val="superscript"/>
          <w:lang w:val="fr-FR"/>
        </w:rPr>
        <w:t>e</w:t>
      </w:r>
      <w:r w:rsidRPr="0072720E">
        <w:rPr>
          <w:lang w:val="fr-FR"/>
        </w:rPr>
        <w:t> </w:t>
      </w:r>
      <w:r>
        <w:rPr>
          <w:lang w:val="fr-FR"/>
        </w:rPr>
        <w:t>F. Frusteri</w:t>
      </w:r>
      <w:r w:rsidRPr="0072720E">
        <w:rPr>
          <w:lang w:val="fr-FR"/>
        </w:rPr>
        <w:t>, avocat</w:t>
      </w:r>
      <w:r>
        <w:rPr>
          <w:lang w:val="fr-FR"/>
        </w:rPr>
        <w:t>e</w:t>
      </w:r>
      <w:r w:rsidRPr="0072720E">
        <w:rPr>
          <w:lang w:val="fr-FR"/>
        </w:rPr>
        <w:t xml:space="preserve"> à </w:t>
      </w:r>
      <w:r>
        <w:rPr>
          <w:lang w:val="fr-FR"/>
        </w:rPr>
        <w:t>Marsala</w:t>
      </w:r>
      <w:r w:rsidRPr="0072720E">
        <w:rPr>
          <w:lang w:val="fr-FR"/>
        </w:rPr>
        <w:t>.</w:t>
      </w:r>
    </w:p>
    <w:p w:rsidR="00F606DC" w:rsidRPr="0072720E" w:rsidRDefault="00F606DC" w:rsidP="005450A6">
      <w:pPr>
        <w:pStyle w:val="ECHRHeading2"/>
        <w:rPr>
          <w:lang w:val="fr-FR"/>
        </w:rPr>
      </w:pPr>
      <w:r w:rsidRPr="0072720E">
        <w:rPr>
          <w:lang w:val="fr-FR"/>
        </w:rPr>
        <w:t>A.  Les circonstances de l</w:t>
      </w:r>
      <w:r w:rsidR="00BF495C">
        <w:rPr>
          <w:lang w:val="fr-FR"/>
        </w:rPr>
        <w:t>’</w:t>
      </w:r>
      <w:r w:rsidRPr="0072720E">
        <w:rPr>
          <w:lang w:val="fr-FR"/>
        </w:rPr>
        <w:t>espèce</w:t>
      </w:r>
    </w:p>
    <w:p w:rsidR="00F606DC" w:rsidRPr="0072720E" w:rsidRDefault="00F606DC" w:rsidP="005450A6">
      <w:pPr>
        <w:pStyle w:val="ECHRPara"/>
        <w:rPr>
          <w:lang w:val="fr-FR"/>
        </w:rPr>
      </w:pPr>
      <w:r>
        <w:rPr>
          <w:lang w:val="fr-FR"/>
        </w:rPr>
        <w:t>2.  </w:t>
      </w:r>
      <w:r w:rsidRPr="0072720E">
        <w:rPr>
          <w:lang w:val="fr-FR"/>
        </w:rPr>
        <w:t>Les faits de la cause, tels qu</w:t>
      </w:r>
      <w:r w:rsidR="00BF495C">
        <w:rPr>
          <w:lang w:val="fr-FR"/>
        </w:rPr>
        <w:t>’</w:t>
      </w:r>
      <w:r w:rsidRPr="0072720E">
        <w:rPr>
          <w:lang w:val="fr-FR"/>
        </w:rPr>
        <w:t>ils ont été exposés par le requérant, peuvent se résumer comme suit.</w:t>
      </w:r>
    </w:p>
    <w:p w:rsidR="00F606DC" w:rsidRDefault="00F606DC" w:rsidP="005450A6">
      <w:pPr>
        <w:pStyle w:val="ECHRPara"/>
        <w:rPr>
          <w:lang w:val="fr-FR"/>
        </w:rPr>
      </w:pPr>
      <w:r>
        <w:rPr>
          <w:lang w:val="fr-FR"/>
        </w:rPr>
        <w:t>3.  Le requérant fut accusé de faire partie d</w:t>
      </w:r>
      <w:r w:rsidR="00BF495C">
        <w:rPr>
          <w:lang w:val="fr-FR"/>
        </w:rPr>
        <w:t>’</w:t>
      </w:r>
      <w:r>
        <w:rPr>
          <w:lang w:val="fr-FR"/>
        </w:rPr>
        <w:t xml:space="preserve">une association des malfaiteurs de type mafieux. Selon la thèse du parquet, il avait notamment fourni un support logistique à des chefs mafieux en fuite. Ces accusations se </w:t>
      </w:r>
      <w:r>
        <w:rPr>
          <w:lang w:val="fr-FR"/>
        </w:rPr>
        <w:lastRenderedPageBreak/>
        <w:t>fondaient, entre autres, sur les déclarations faites au parquet par un mafieux repenti, X, ainsi que sur le contenu de certaines écoutes hertziennes et sur le témoignage d</w:t>
      </w:r>
      <w:r w:rsidR="00BF495C">
        <w:rPr>
          <w:lang w:val="fr-FR"/>
        </w:rPr>
        <w:t>’</w:t>
      </w:r>
      <w:r>
        <w:rPr>
          <w:lang w:val="fr-FR"/>
        </w:rPr>
        <w:t>un certain Y.</w:t>
      </w:r>
    </w:p>
    <w:p w:rsidR="00421F1F" w:rsidRDefault="00F606DC" w:rsidP="005450A6">
      <w:pPr>
        <w:pStyle w:val="ECHRPara"/>
        <w:rPr>
          <w:lang w:val="fr-FR"/>
        </w:rPr>
      </w:pPr>
      <w:r>
        <w:rPr>
          <w:lang w:val="fr-FR"/>
        </w:rPr>
        <w:t>4.  Le 29 juin 2007, le parquet de Palerme demanda le renvoi en jugement du requérant et de quatre autres personnes.</w:t>
      </w:r>
    </w:p>
    <w:p w:rsidR="00F606DC" w:rsidRDefault="00F606DC" w:rsidP="005450A6">
      <w:pPr>
        <w:pStyle w:val="ECHRPara"/>
        <w:rPr>
          <w:lang w:val="fr-FR"/>
        </w:rPr>
      </w:pPr>
      <w:r>
        <w:rPr>
          <w:lang w:val="fr-FR"/>
        </w:rPr>
        <w:t>5.  L</w:t>
      </w:r>
      <w:r w:rsidR="00BF495C">
        <w:rPr>
          <w:lang w:val="fr-FR"/>
        </w:rPr>
        <w:t>’</w:t>
      </w:r>
      <w:r>
        <w:rPr>
          <w:lang w:val="fr-FR"/>
        </w:rPr>
        <w:t>audience préliminaire eut lieu le 6 août 2007. Le requérant et ses coïnculpés demandèrent à être jugés selon la procédure abrégée (</w:t>
      </w:r>
      <w:r>
        <w:rPr>
          <w:i/>
          <w:lang w:val="fr-FR"/>
        </w:rPr>
        <w:t>giudizio abbreviato</w:t>
      </w:r>
      <w:r>
        <w:rPr>
          <w:lang w:val="fr-FR"/>
        </w:rPr>
        <w:t xml:space="preserve">), </w:t>
      </w:r>
      <w:r w:rsidRPr="00183752">
        <w:rPr>
          <w:lang w:val="fr-FR"/>
        </w:rPr>
        <w:t>une démarche simplifiée entraînant, en cas de condamnation, une réduction de peine (</w:t>
      </w:r>
      <w:r>
        <w:rPr>
          <w:lang w:val="fr-FR"/>
        </w:rPr>
        <w:t>paragraphes 19-20 ci-après</w:t>
      </w:r>
      <w:r w:rsidRPr="00183752">
        <w:rPr>
          <w:lang w:val="fr-FR"/>
        </w:rPr>
        <w:t>)</w:t>
      </w:r>
      <w:r>
        <w:rPr>
          <w:lang w:val="fr-FR"/>
        </w:rPr>
        <w:t>. Ces demandes furent accueillies par le juge de l</w:t>
      </w:r>
      <w:r w:rsidR="00BF495C">
        <w:rPr>
          <w:lang w:val="fr-FR"/>
        </w:rPr>
        <w:t>’</w:t>
      </w:r>
      <w:r>
        <w:rPr>
          <w:lang w:val="fr-FR"/>
        </w:rPr>
        <w:t>audience préliminaire (ci-après, le « GUP ») de Palerme.</w:t>
      </w:r>
    </w:p>
    <w:p w:rsidR="00421F1F" w:rsidRDefault="00F606DC" w:rsidP="005450A6">
      <w:pPr>
        <w:pStyle w:val="ECHRPara"/>
        <w:rPr>
          <w:lang w:val="fr-FR"/>
        </w:rPr>
      </w:pPr>
      <w:bookmarkStart w:id="1" w:name="sentenzaGUP"/>
      <w:r>
        <w:rPr>
          <w:lang w:val="fr-FR"/>
        </w:rPr>
        <w:t>6</w:t>
      </w:r>
      <w:bookmarkEnd w:id="1"/>
      <w:r>
        <w:rPr>
          <w:lang w:val="fr-FR"/>
        </w:rPr>
        <w:t>.  Par un jugement du 30 octobre 2007, le GUP condamna le requérant à six ans d</w:t>
      </w:r>
      <w:r w:rsidR="00BF495C">
        <w:rPr>
          <w:lang w:val="fr-FR"/>
        </w:rPr>
        <w:t>’</w:t>
      </w:r>
      <w:r>
        <w:rPr>
          <w:lang w:val="fr-FR"/>
        </w:rPr>
        <w:t>emprisonnement. Cette décision était fondée, pour l</w:t>
      </w:r>
      <w:r w:rsidR="00BF495C">
        <w:rPr>
          <w:lang w:val="fr-FR"/>
        </w:rPr>
        <w:t>’</w:t>
      </w:r>
      <w:r>
        <w:rPr>
          <w:lang w:val="fr-FR"/>
        </w:rPr>
        <w:t>essentiel, sur les déclarations de X, estimées précises, crédibles et corroborées par d</w:t>
      </w:r>
      <w:r w:rsidR="00BF495C">
        <w:rPr>
          <w:lang w:val="fr-FR"/>
        </w:rPr>
        <w:t>’</w:t>
      </w:r>
      <w:r>
        <w:rPr>
          <w:lang w:val="fr-FR"/>
        </w:rPr>
        <w:t>autres éléments, parmi lesquels le contenu d</w:t>
      </w:r>
      <w:r w:rsidR="00BF495C">
        <w:rPr>
          <w:lang w:val="fr-FR"/>
        </w:rPr>
        <w:t>’</w:t>
      </w:r>
      <w:r>
        <w:rPr>
          <w:lang w:val="fr-FR"/>
        </w:rPr>
        <w:t>une écoute hertzienne réalisée dans le parloir d</w:t>
      </w:r>
      <w:r w:rsidR="00BF495C">
        <w:rPr>
          <w:lang w:val="fr-FR"/>
        </w:rPr>
        <w:t>’</w:t>
      </w:r>
      <w:r>
        <w:rPr>
          <w:lang w:val="fr-FR"/>
        </w:rPr>
        <w:t>un pénitencier et la déposition de Y. Ce dernier avait affirmé avoir vendu à un certain « </w:t>
      </w:r>
      <w:r w:rsidRPr="002560A6">
        <w:rPr>
          <w:lang w:val="fr-FR"/>
        </w:rPr>
        <w:t>Tanino Greco »</w:t>
      </w:r>
      <w:r>
        <w:rPr>
          <w:lang w:val="fr-FR"/>
        </w:rPr>
        <w:t xml:space="preserve">, que le GUP identifia comme étant le requérant, une voiture ensuite utilisée par deux chefs mafieux en fuite. En particulier, </w:t>
      </w:r>
      <w:r w:rsidRPr="002560A6">
        <w:rPr>
          <w:lang w:val="fr-FR"/>
        </w:rPr>
        <w:t>« Tanino »</w:t>
      </w:r>
      <w:r>
        <w:rPr>
          <w:lang w:val="fr-FR"/>
        </w:rPr>
        <w:t xml:space="preserve"> était le diminutif du prénom « Gaetano », et Y avait indiqué que l</w:t>
      </w:r>
      <w:r w:rsidR="00BF495C">
        <w:rPr>
          <w:lang w:val="fr-FR"/>
        </w:rPr>
        <w:t>’</w:t>
      </w:r>
      <w:r>
        <w:rPr>
          <w:lang w:val="fr-FR"/>
        </w:rPr>
        <w:t>acheteur de la voiture travaillait, comme le requérant, dans la discothèque O.</w:t>
      </w:r>
    </w:p>
    <w:p w:rsidR="00F606DC" w:rsidRDefault="00F606DC" w:rsidP="005450A6">
      <w:pPr>
        <w:pStyle w:val="ECHRPara"/>
        <w:rPr>
          <w:lang w:val="fr-FR"/>
        </w:rPr>
      </w:pPr>
      <w:r>
        <w:rPr>
          <w:lang w:val="fr-FR"/>
        </w:rPr>
        <w:t>7.  Le requérant interjeta appel. Il contesta la force probatoire des éléments à sa charge et la légalité des écoutes hertziennes.</w:t>
      </w:r>
    </w:p>
    <w:p w:rsidR="00F606DC" w:rsidRDefault="00F606DC" w:rsidP="005450A6">
      <w:pPr>
        <w:pStyle w:val="ECHRPara"/>
        <w:rPr>
          <w:lang w:val="fr-FR"/>
        </w:rPr>
      </w:pPr>
      <w:bookmarkStart w:id="2" w:name="sentenzaCappPalermo452009"/>
      <w:r>
        <w:rPr>
          <w:lang w:val="fr-FR"/>
        </w:rPr>
        <w:t>8</w:t>
      </w:r>
      <w:bookmarkEnd w:id="2"/>
      <w:r>
        <w:rPr>
          <w:lang w:val="fr-FR"/>
        </w:rPr>
        <w:t>.  Par un arrêt du 4 mai 2009, la cour d</w:t>
      </w:r>
      <w:r w:rsidR="00BF495C">
        <w:rPr>
          <w:lang w:val="fr-FR"/>
        </w:rPr>
        <w:t>’</w:t>
      </w:r>
      <w:r>
        <w:rPr>
          <w:lang w:val="fr-FR"/>
        </w:rPr>
        <w:t>appel réduisit la peine infligée au requérant à cinq ans et quatre mois d</w:t>
      </w:r>
      <w:r w:rsidR="00BF495C">
        <w:rPr>
          <w:lang w:val="fr-FR"/>
        </w:rPr>
        <w:t>’</w:t>
      </w:r>
      <w:r>
        <w:rPr>
          <w:lang w:val="fr-FR"/>
        </w:rPr>
        <w:t>emprisonnement. Elle confirma l</w:t>
      </w:r>
      <w:r w:rsidR="00BF495C">
        <w:rPr>
          <w:lang w:val="fr-FR"/>
        </w:rPr>
        <w:t>’</w:t>
      </w:r>
      <w:r>
        <w:rPr>
          <w:lang w:val="fr-FR"/>
        </w:rPr>
        <w:t>analyse du GUP et estima qu</w:t>
      </w:r>
      <w:r w:rsidR="00BF495C">
        <w:rPr>
          <w:lang w:val="fr-FR"/>
        </w:rPr>
        <w:t>’</w:t>
      </w:r>
      <w:r>
        <w:rPr>
          <w:lang w:val="fr-FR"/>
        </w:rPr>
        <w:t>aucun doute ne subsistait quant à l</w:t>
      </w:r>
      <w:r w:rsidR="00BF495C">
        <w:rPr>
          <w:lang w:val="fr-FR"/>
        </w:rPr>
        <w:t>’</w:t>
      </w:r>
      <w:r>
        <w:rPr>
          <w:lang w:val="fr-FR"/>
        </w:rPr>
        <w:t>identification du requérant comme étant l</w:t>
      </w:r>
      <w:r w:rsidR="00BF495C">
        <w:rPr>
          <w:lang w:val="fr-FR"/>
        </w:rPr>
        <w:t>’</w:t>
      </w:r>
      <w:r>
        <w:rPr>
          <w:lang w:val="fr-FR"/>
        </w:rPr>
        <w:t>acheteur de la voiture utilisée par les chefs mafieux. Dans ces circonstances, une nouvelle audition de Y, sollicitée par la défense, ne s</w:t>
      </w:r>
      <w:r w:rsidR="00BF495C">
        <w:rPr>
          <w:lang w:val="fr-FR"/>
        </w:rPr>
        <w:t>’</w:t>
      </w:r>
      <w:r>
        <w:rPr>
          <w:lang w:val="fr-FR"/>
        </w:rPr>
        <w:t>avérait pas nécessaire. Quant à la mesure de la peine, la cour d</w:t>
      </w:r>
      <w:r w:rsidR="00BF495C">
        <w:rPr>
          <w:lang w:val="fr-FR"/>
        </w:rPr>
        <w:t>’</w:t>
      </w:r>
      <w:r>
        <w:rPr>
          <w:lang w:val="fr-FR"/>
        </w:rPr>
        <w:t>appel estima opportun de la réduire, compte tenu notamment du fait que la contribution du requérant aux activités de l</w:t>
      </w:r>
      <w:r w:rsidR="00BF495C">
        <w:rPr>
          <w:lang w:val="fr-FR"/>
        </w:rPr>
        <w:t>’</w:t>
      </w:r>
      <w:r>
        <w:rPr>
          <w:lang w:val="fr-FR"/>
        </w:rPr>
        <w:t>association des malfaiteurs dont il faisait partie avait été limitée, pour l</w:t>
      </w:r>
      <w:r w:rsidR="00BF495C">
        <w:rPr>
          <w:lang w:val="fr-FR"/>
        </w:rPr>
        <w:t>’</w:t>
      </w:r>
      <w:r>
        <w:rPr>
          <w:lang w:val="fr-FR"/>
        </w:rPr>
        <w:t>essentiel, à un support logistique.</w:t>
      </w:r>
    </w:p>
    <w:p w:rsidR="00421F1F" w:rsidRDefault="00F606DC" w:rsidP="005450A6">
      <w:pPr>
        <w:pStyle w:val="ECHRPara"/>
        <w:rPr>
          <w:lang w:val="fr-FR"/>
        </w:rPr>
      </w:pPr>
      <w:r>
        <w:rPr>
          <w:lang w:val="fr-FR"/>
        </w:rPr>
        <w:t>9.  Le requérant se pourvut en cassation.</w:t>
      </w:r>
    </w:p>
    <w:p w:rsidR="00F606DC" w:rsidRDefault="00F606DC" w:rsidP="005450A6">
      <w:pPr>
        <w:pStyle w:val="ECHRPara"/>
        <w:rPr>
          <w:lang w:val="fr-FR"/>
        </w:rPr>
      </w:pPr>
      <w:r>
        <w:rPr>
          <w:lang w:val="fr-FR"/>
        </w:rPr>
        <w:t>10.  Par un arrêt du 13 mai 2010, la Cour de cassation cassa l</w:t>
      </w:r>
      <w:r w:rsidR="00BF495C">
        <w:rPr>
          <w:lang w:val="fr-FR"/>
        </w:rPr>
        <w:t>’</w:t>
      </w:r>
      <w:r>
        <w:rPr>
          <w:lang w:val="fr-FR"/>
        </w:rPr>
        <w:t>arrêt d</w:t>
      </w:r>
      <w:r w:rsidR="00BF495C">
        <w:rPr>
          <w:lang w:val="fr-FR"/>
        </w:rPr>
        <w:t>’</w:t>
      </w:r>
      <w:r>
        <w:rPr>
          <w:lang w:val="fr-FR"/>
        </w:rPr>
        <w:t>appel et indiqua la cour d</w:t>
      </w:r>
      <w:r w:rsidR="00BF495C">
        <w:rPr>
          <w:lang w:val="fr-FR"/>
        </w:rPr>
        <w:t>’</w:t>
      </w:r>
      <w:r>
        <w:rPr>
          <w:lang w:val="fr-FR"/>
        </w:rPr>
        <w:t>appel de Palerme comme juridiction de renvoi.</w:t>
      </w:r>
    </w:p>
    <w:p w:rsidR="00F606DC" w:rsidRDefault="00F606DC" w:rsidP="005450A6">
      <w:pPr>
        <w:pStyle w:val="ECHRPara"/>
        <w:rPr>
          <w:lang w:val="fr-FR"/>
        </w:rPr>
      </w:pPr>
      <w:r>
        <w:rPr>
          <w:lang w:val="fr-FR"/>
        </w:rPr>
        <w:t>11.  La Cour de cassation observa notamment qu</w:t>
      </w:r>
      <w:r w:rsidR="00BF495C">
        <w:rPr>
          <w:lang w:val="fr-FR"/>
        </w:rPr>
        <w:t>’</w:t>
      </w:r>
      <w:r>
        <w:rPr>
          <w:lang w:val="fr-FR"/>
        </w:rPr>
        <w:t>aux termes du code de procédure pénale (le « CPP »), les écoutes pouvaient être réalisées par des instruments n</w:t>
      </w:r>
      <w:r w:rsidR="00BF495C">
        <w:rPr>
          <w:lang w:val="fr-FR"/>
        </w:rPr>
        <w:t>’</w:t>
      </w:r>
      <w:r>
        <w:rPr>
          <w:lang w:val="fr-FR"/>
        </w:rPr>
        <w:t>appartenant pas au parquet seulement dans des circonstances exceptionnelles. En l</w:t>
      </w:r>
      <w:r w:rsidR="00BF495C">
        <w:rPr>
          <w:lang w:val="fr-FR"/>
        </w:rPr>
        <w:t>’</w:t>
      </w:r>
      <w:r>
        <w:rPr>
          <w:lang w:val="fr-FR"/>
        </w:rPr>
        <w:t>espèce, cependant, certaines des ordonnances autorisant les écoutes n</w:t>
      </w:r>
      <w:r w:rsidR="00BF495C">
        <w:rPr>
          <w:lang w:val="fr-FR"/>
        </w:rPr>
        <w:t>’</w:t>
      </w:r>
      <w:r>
        <w:rPr>
          <w:lang w:val="fr-FR"/>
        </w:rPr>
        <w:t>avaient pas dûment motivé l</w:t>
      </w:r>
      <w:r w:rsidR="00BF495C">
        <w:rPr>
          <w:lang w:val="fr-FR"/>
        </w:rPr>
        <w:t>’</w:t>
      </w:r>
      <w:r>
        <w:rPr>
          <w:lang w:val="fr-FR"/>
        </w:rPr>
        <w:t>existence de ces circonstances, ce qui empêchait d</w:t>
      </w:r>
      <w:r w:rsidR="00BF495C">
        <w:rPr>
          <w:lang w:val="fr-FR"/>
        </w:rPr>
        <w:t>’</w:t>
      </w:r>
      <w:r>
        <w:rPr>
          <w:lang w:val="fr-FR"/>
        </w:rPr>
        <w:t>utiliser les écoutes en question pour décider du bien-fondé des accusations.</w:t>
      </w:r>
    </w:p>
    <w:p w:rsidR="005075F6" w:rsidRDefault="00F606DC" w:rsidP="005450A6">
      <w:pPr>
        <w:pStyle w:val="ECHRPara"/>
        <w:rPr>
          <w:lang w:val="fr-FR"/>
        </w:rPr>
      </w:pPr>
      <w:r>
        <w:rPr>
          <w:lang w:val="fr-FR"/>
        </w:rPr>
        <w:lastRenderedPageBreak/>
        <w:t>12.  La procédure reprit devant la cour d</w:t>
      </w:r>
      <w:r w:rsidR="00BF495C">
        <w:rPr>
          <w:lang w:val="fr-FR"/>
        </w:rPr>
        <w:t>’</w:t>
      </w:r>
      <w:r>
        <w:rPr>
          <w:lang w:val="fr-FR"/>
        </w:rPr>
        <w:t>appel de Palerme, faisant fonction de juridiction de renvoi.</w:t>
      </w:r>
    </w:p>
    <w:p w:rsidR="00F606DC" w:rsidRDefault="00F606DC" w:rsidP="005450A6">
      <w:pPr>
        <w:pStyle w:val="ECHRPara"/>
        <w:rPr>
          <w:lang w:val="fr-FR"/>
        </w:rPr>
      </w:pPr>
      <w:bookmarkStart w:id="3" w:name="sentenzarinvio"/>
      <w:r>
        <w:rPr>
          <w:lang w:val="fr-FR"/>
        </w:rPr>
        <w:t>13</w:t>
      </w:r>
      <w:bookmarkEnd w:id="3"/>
      <w:r>
        <w:rPr>
          <w:lang w:val="fr-FR"/>
        </w:rPr>
        <w:t>.  Par un arrêt du 18 avril 2011, cette dernière confirma le jugement du GUP du 30 octobre 2007 (paragraphe 6 ci-dessus).</w:t>
      </w:r>
    </w:p>
    <w:p w:rsidR="00F606DC" w:rsidRDefault="00F606DC" w:rsidP="005450A6">
      <w:pPr>
        <w:pStyle w:val="ECHRPara"/>
        <w:rPr>
          <w:lang w:val="fr-FR"/>
        </w:rPr>
      </w:pPr>
      <w:r>
        <w:rPr>
          <w:lang w:val="fr-FR"/>
        </w:rPr>
        <w:t>14.  Elle observa que même si les résultats des écoutes hertziennes réalisées dans le parloir du pénitencier ne pouvaient pas être utilisés contre le requérant, les déclarations de X demeuraient précises, crédibles et corroborées par un nombre suffisant d</w:t>
      </w:r>
      <w:r w:rsidR="00BF495C">
        <w:rPr>
          <w:lang w:val="fr-FR"/>
        </w:rPr>
        <w:t>’</w:t>
      </w:r>
      <w:r>
        <w:rPr>
          <w:lang w:val="fr-FR"/>
        </w:rPr>
        <w:t>éléments, à savoir : a)</w:t>
      </w:r>
      <w:r w:rsidR="0009064A">
        <w:rPr>
          <w:lang w:val="fr-FR"/>
        </w:rPr>
        <w:t> </w:t>
      </w:r>
      <w:r>
        <w:rPr>
          <w:lang w:val="fr-FR"/>
        </w:rPr>
        <w:t>les investigations accomplies sur la voiture utilisée par les chefs mafieux ; b) les procès-verbaux de deux interrogatoires d</w:t>
      </w:r>
      <w:r w:rsidR="00BF495C">
        <w:rPr>
          <w:lang w:val="fr-FR"/>
        </w:rPr>
        <w:t>’</w:t>
      </w:r>
      <w:r>
        <w:rPr>
          <w:lang w:val="fr-FR"/>
        </w:rPr>
        <w:t>une certaine M</w:t>
      </w:r>
      <w:r w:rsidRPr="00CC19AC">
        <w:rPr>
          <w:vertAlign w:val="superscript"/>
          <w:lang w:val="fr-FR"/>
        </w:rPr>
        <w:t>me</w:t>
      </w:r>
      <w:r>
        <w:rPr>
          <w:vertAlign w:val="superscript"/>
          <w:lang w:val="fr-FR"/>
        </w:rPr>
        <w:t> </w:t>
      </w:r>
      <w:r w:rsidR="0009064A">
        <w:rPr>
          <w:lang w:val="fr-FR"/>
        </w:rPr>
        <w:t>A. ; c) </w:t>
      </w:r>
      <w:r>
        <w:rPr>
          <w:lang w:val="fr-FR"/>
        </w:rPr>
        <w:t>les enregistrements vidéo de la maison de M</w:t>
      </w:r>
      <w:r w:rsidRPr="00CC19AC">
        <w:rPr>
          <w:vertAlign w:val="superscript"/>
          <w:lang w:val="fr-FR"/>
        </w:rPr>
        <w:t>me</w:t>
      </w:r>
      <w:r>
        <w:rPr>
          <w:lang w:val="fr-FR"/>
        </w:rPr>
        <w:t xml:space="preserve"> A., où avait été trouvée la voiture litigieuse et où s</w:t>
      </w:r>
      <w:r w:rsidR="00BF495C">
        <w:rPr>
          <w:lang w:val="fr-FR"/>
        </w:rPr>
        <w:t>’</w:t>
      </w:r>
      <w:r>
        <w:rPr>
          <w:lang w:val="fr-FR"/>
        </w:rPr>
        <w:t>étaient cachés les chefs mafieux ; et d)</w:t>
      </w:r>
      <w:r w:rsidR="0009064A">
        <w:rPr>
          <w:lang w:val="fr-FR"/>
        </w:rPr>
        <w:t> </w:t>
      </w:r>
      <w:r>
        <w:rPr>
          <w:lang w:val="fr-FR"/>
        </w:rPr>
        <w:t>les déclarations de Y.</w:t>
      </w:r>
    </w:p>
    <w:p w:rsidR="00421F1F" w:rsidRDefault="00F606DC" w:rsidP="005450A6">
      <w:pPr>
        <w:pStyle w:val="ECHRPara"/>
        <w:rPr>
          <w:lang w:val="fr-FR"/>
        </w:rPr>
      </w:pPr>
      <w:bookmarkStart w:id="4" w:name="secondoricorsocass"/>
      <w:r>
        <w:rPr>
          <w:lang w:val="fr-FR"/>
        </w:rPr>
        <w:t>15</w:t>
      </w:r>
      <w:bookmarkEnd w:id="4"/>
      <w:r>
        <w:rPr>
          <w:lang w:val="fr-FR"/>
        </w:rPr>
        <w:t>.  Le requérant se pourvut en cassation. Il réitéra ses doléances relatives à la suffisance et pertinence des éléments à sa charge et allégua que sa conduite pouvait, tout au plus, être qualifiée de connivence personnelle. Il excipa en outre la violation du principe d</w:t>
      </w:r>
      <w:r w:rsidR="00BF495C">
        <w:rPr>
          <w:lang w:val="fr-FR"/>
        </w:rPr>
        <w:t>’</w:t>
      </w:r>
      <w:r>
        <w:rPr>
          <w:lang w:val="fr-FR"/>
        </w:rPr>
        <w:t xml:space="preserve">interdiction de </w:t>
      </w:r>
      <w:r>
        <w:rPr>
          <w:i/>
          <w:lang w:val="fr-FR"/>
        </w:rPr>
        <w:t>reformatio in pejus</w:t>
      </w:r>
      <w:r>
        <w:rPr>
          <w:lang w:val="fr-FR"/>
        </w:rPr>
        <w:t>, tel que garanti par l</w:t>
      </w:r>
      <w:r w:rsidR="00BF495C">
        <w:rPr>
          <w:lang w:val="fr-FR"/>
        </w:rPr>
        <w:t>’</w:t>
      </w:r>
      <w:r>
        <w:rPr>
          <w:lang w:val="fr-FR"/>
        </w:rPr>
        <w:t xml:space="preserve">article 597 § 3 du CPP (paragraphe 21 ci-après). </w:t>
      </w:r>
      <w:r>
        <w:rPr>
          <w:rFonts w:cstheme="minorHAnsi"/>
          <w:lang w:val="fr-FR"/>
        </w:rPr>
        <w:t>I</w:t>
      </w:r>
      <w:r>
        <w:rPr>
          <w:lang w:val="fr-FR"/>
        </w:rPr>
        <w:t>l observa que la peine infligée en première instance (six ans d</w:t>
      </w:r>
      <w:r w:rsidR="00BF495C">
        <w:rPr>
          <w:lang w:val="fr-FR"/>
        </w:rPr>
        <w:t>’</w:t>
      </w:r>
      <w:r>
        <w:rPr>
          <w:lang w:val="fr-FR"/>
        </w:rPr>
        <w:t>emprisonnement) avait été réduite en appel à cinq ans et quatre mois ; puisque seul l</w:t>
      </w:r>
      <w:r w:rsidR="00BF495C">
        <w:rPr>
          <w:lang w:val="fr-FR"/>
        </w:rPr>
        <w:t>’</w:t>
      </w:r>
      <w:r>
        <w:rPr>
          <w:lang w:val="fr-FR"/>
        </w:rPr>
        <w:t>accusé avait attaqué ces sentences, la juridiction de renvoi ne pouvait appliquer une peine supérieure à cinq ans et quatre mois. Cependant, en confirmant le jugement du GUP, la cour d</w:t>
      </w:r>
      <w:r w:rsidR="00BF495C">
        <w:rPr>
          <w:lang w:val="fr-FR"/>
        </w:rPr>
        <w:t>’</w:t>
      </w:r>
      <w:r>
        <w:rPr>
          <w:lang w:val="fr-FR"/>
        </w:rPr>
        <w:t>appel de Palerme avait condamné le requérant à six ans d</w:t>
      </w:r>
      <w:r w:rsidR="00BF495C">
        <w:rPr>
          <w:lang w:val="fr-FR"/>
        </w:rPr>
        <w:t>’</w:t>
      </w:r>
      <w:r>
        <w:rPr>
          <w:lang w:val="fr-FR"/>
        </w:rPr>
        <w:t>emprisonnement, ce qui, selon l</w:t>
      </w:r>
      <w:r w:rsidR="00BF495C">
        <w:rPr>
          <w:lang w:val="fr-FR"/>
        </w:rPr>
        <w:t>’</w:t>
      </w:r>
      <w:r>
        <w:rPr>
          <w:lang w:val="fr-FR"/>
        </w:rPr>
        <w:t>intéressé, ne se conciliait pas avec une jurisprudence de la Cour de cassation, selon laquelle l</w:t>
      </w:r>
      <w:r w:rsidR="00BF495C">
        <w:rPr>
          <w:lang w:val="fr-FR"/>
        </w:rPr>
        <w:t>’</w:t>
      </w:r>
      <w:r>
        <w:rPr>
          <w:lang w:val="fr-FR"/>
        </w:rPr>
        <w:t xml:space="preserve">interdiction de </w:t>
      </w:r>
      <w:r>
        <w:rPr>
          <w:i/>
          <w:lang w:val="fr-FR"/>
        </w:rPr>
        <w:t xml:space="preserve">reformation in pejus </w:t>
      </w:r>
      <w:r>
        <w:rPr>
          <w:lang w:val="fr-FR"/>
        </w:rPr>
        <w:t>s</w:t>
      </w:r>
      <w:r w:rsidR="00BF495C">
        <w:rPr>
          <w:lang w:val="fr-FR"/>
        </w:rPr>
        <w:t>’</w:t>
      </w:r>
      <w:r>
        <w:rPr>
          <w:lang w:val="fr-FR"/>
        </w:rPr>
        <w:t>appliquait également au procès de renvoi (le requérant cita, notamment, les arrêts suivants de la Cour de cassation : section V, 16 janvier 1999, n</w:t>
      </w:r>
      <w:r w:rsidR="00421F1F" w:rsidRPr="00421F1F">
        <w:rPr>
          <w:vertAlign w:val="superscript"/>
          <w:lang w:val="fr-FR"/>
        </w:rPr>
        <w:t>o</w:t>
      </w:r>
      <w:r>
        <w:rPr>
          <w:lang w:val="fr-FR"/>
        </w:rPr>
        <w:t xml:space="preserve"> 493 ; section I, 3 juillet 2001, n</w:t>
      </w:r>
      <w:r w:rsidR="00421F1F" w:rsidRPr="00421F1F">
        <w:rPr>
          <w:vertAlign w:val="superscript"/>
          <w:lang w:val="fr-FR"/>
        </w:rPr>
        <w:t>o</w:t>
      </w:r>
      <w:r>
        <w:rPr>
          <w:lang w:val="fr-FR"/>
        </w:rPr>
        <w:t xml:space="preserve"> 26898 ; section II, 8 mai 2009, n</w:t>
      </w:r>
      <w:r w:rsidR="00421F1F" w:rsidRPr="00421F1F">
        <w:rPr>
          <w:vertAlign w:val="superscript"/>
          <w:lang w:val="fr-FR"/>
        </w:rPr>
        <w:t>o</w:t>
      </w:r>
      <w:r>
        <w:rPr>
          <w:lang w:val="fr-FR"/>
        </w:rPr>
        <w:t xml:space="preserve"> 34557, </w:t>
      </w:r>
      <w:r>
        <w:rPr>
          <w:i/>
          <w:lang w:val="fr-FR"/>
        </w:rPr>
        <w:t>Gaeta</w:t>
      </w:r>
      <w:r>
        <w:rPr>
          <w:lang w:val="fr-FR"/>
        </w:rPr>
        <w:t>, rv. 245234 ; et section VI, 30 septembre 2009, n</w:t>
      </w:r>
      <w:r w:rsidR="00421F1F" w:rsidRPr="00421F1F">
        <w:rPr>
          <w:vertAlign w:val="superscript"/>
          <w:lang w:val="fr-FR"/>
        </w:rPr>
        <w:t>o</w:t>
      </w:r>
      <w:r>
        <w:rPr>
          <w:lang w:val="fr-FR"/>
        </w:rPr>
        <w:t xml:space="preserve"> 44488, </w:t>
      </w:r>
      <w:r>
        <w:rPr>
          <w:i/>
          <w:lang w:val="fr-FR"/>
        </w:rPr>
        <w:t>Zaccaria</w:t>
      </w:r>
      <w:r>
        <w:rPr>
          <w:lang w:val="fr-FR"/>
        </w:rPr>
        <w:t>, rv. 245107).</w:t>
      </w:r>
    </w:p>
    <w:p w:rsidR="005075F6" w:rsidRDefault="00F606DC" w:rsidP="005450A6">
      <w:pPr>
        <w:pStyle w:val="ECHRPara"/>
        <w:rPr>
          <w:lang w:val="fr-FR"/>
        </w:rPr>
      </w:pPr>
      <w:bookmarkStart w:id="5" w:name="nonaudizioneYricorsoxcass"/>
      <w:r>
        <w:rPr>
          <w:lang w:val="fr-FR"/>
        </w:rPr>
        <w:t>16</w:t>
      </w:r>
      <w:bookmarkEnd w:id="5"/>
      <w:r>
        <w:rPr>
          <w:lang w:val="fr-FR"/>
        </w:rPr>
        <w:t>.  Dans ses moyens de pourvoi, le requérant ne se plaignit pas du rejet de sa demande d</w:t>
      </w:r>
      <w:r w:rsidR="00BF495C">
        <w:rPr>
          <w:lang w:val="fr-FR"/>
        </w:rPr>
        <w:t>’</w:t>
      </w:r>
      <w:r>
        <w:rPr>
          <w:lang w:val="fr-FR"/>
        </w:rPr>
        <w:t>ordonner une nouvelle audition de Y.</w:t>
      </w:r>
    </w:p>
    <w:p w:rsidR="00F606DC" w:rsidRDefault="00F606DC" w:rsidP="005450A6">
      <w:pPr>
        <w:pStyle w:val="ECHRPara"/>
        <w:rPr>
          <w:lang w:val="fr-FR"/>
        </w:rPr>
      </w:pPr>
      <w:r>
        <w:rPr>
          <w:lang w:val="fr-FR"/>
        </w:rPr>
        <w:t>17.  Par un arrêt du 19 mars 2013, dont le texte fut déposé au greffe le 3 mai 2013, la Cour de cassation, estimant que la cour d</w:t>
      </w:r>
      <w:r w:rsidR="00BF495C">
        <w:rPr>
          <w:lang w:val="fr-FR"/>
        </w:rPr>
        <w:t>’</w:t>
      </w:r>
      <w:r>
        <w:rPr>
          <w:lang w:val="fr-FR"/>
        </w:rPr>
        <w:t>appel de Palerme avait motivé de manière logique et correcte tous les points controversés, débouta le requérant de son pourvoi.</w:t>
      </w:r>
    </w:p>
    <w:p w:rsidR="00F606DC" w:rsidRPr="0072720E" w:rsidRDefault="00F606DC" w:rsidP="005450A6">
      <w:pPr>
        <w:pStyle w:val="ECHRPara"/>
        <w:rPr>
          <w:lang w:val="fr-FR"/>
        </w:rPr>
      </w:pPr>
      <w:bookmarkStart w:id="6" w:name="CCasssureformatio"/>
      <w:r>
        <w:rPr>
          <w:lang w:val="fr-FR"/>
        </w:rPr>
        <w:t>18</w:t>
      </w:r>
      <w:bookmarkEnd w:id="6"/>
      <w:r>
        <w:rPr>
          <w:lang w:val="fr-FR"/>
        </w:rPr>
        <w:t>.  Elle estima notamment qu</w:t>
      </w:r>
      <w:r w:rsidR="00BF495C">
        <w:rPr>
          <w:lang w:val="fr-FR"/>
        </w:rPr>
        <w:t>’</w:t>
      </w:r>
      <w:r>
        <w:rPr>
          <w:lang w:val="fr-FR"/>
        </w:rPr>
        <w:t>aucune violation du principe de l</w:t>
      </w:r>
      <w:r w:rsidR="00BF495C">
        <w:rPr>
          <w:lang w:val="fr-FR"/>
        </w:rPr>
        <w:t>’</w:t>
      </w:r>
      <w:r>
        <w:rPr>
          <w:lang w:val="fr-FR"/>
        </w:rPr>
        <w:t xml:space="preserve">interdiction de </w:t>
      </w:r>
      <w:r>
        <w:rPr>
          <w:i/>
          <w:lang w:val="fr-FR"/>
        </w:rPr>
        <w:t xml:space="preserve">reformatio in pejus </w:t>
      </w:r>
      <w:r>
        <w:rPr>
          <w:lang w:val="fr-FR"/>
        </w:rPr>
        <w:t>n</w:t>
      </w:r>
      <w:r w:rsidR="00BF495C">
        <w:rPr>
          <w:lang w:val="fr-FR"/>
        </w:rPr>
        <w:t>’</w:t>
      </w:r>
      <w:r>
        <w:rPr>
          <w:lang w:val="fr-FR"/>
        </w:rPr>
        <w:t>avait eu lieu. En effet, la jurisprudence citée par le requérant (notamment, l</w:t>
      </w:r>
      <w:r w:rsidR="00BF495C">
        <w:rPr>
          <w:lang w:val="fr-FR"/>
        </w:rPr>
        <w:t>’</w:t>
      </w:r>
      <w:r>
        <w:rPr>
          <w:lang w:val="fr-FR"/>
        </w:rPr>
        <w:t xml:space="preserve">arrêt de la section VI, </w:t>
      </w:r>
      <w:r>
        <w:rPr>
          <w:i/>
          <w:lang w:val="fr-FR"/>
        </w:rPr>
        <w:t>Zaccaria</w:t>
      </w:r>
      <w:r>
        <w:rPr>
          <w:lang w:val="fr-FR"/>
        </w:rPr>
        <w:t>), indiquait également que lorsque, comme en l</w:t>
      </w:r>
      <w:r w:rsidR="00BF495C">
        <w:rPr>
          <w:lang w:val="fr-FR"/>
        </w:rPr>
        <w:t>’</w:t>
      </w:r>
      <w:r>
        <w:rPr>
          <w:lang w:val="fr-FR"/>
        </w:rPr>
        <w:t>espèce, l</w:t>
      </w:r>
      <w:r w:rsidR="00BF495C">
        <w:rPr>
          <w:lang w:val="fr-FR"/>
        </w:rPr>
        <w:t>’</w:t>
      </w:r>
      <w:r>
        <w:rPr>
          <w:lang w:val="fr-FR"/>
        </w:rPr>
        <w:t>arrêt d</w:t>
      </w:r>
      <w:r w:rsidR="00BF495C">
        <w:rPr>
          <w:lang w:val="fr-FR"/>
        </w:rPr>
        <w:t>’</w:t>
      </w:r>
      <w:r>
        <w:rPr>
          <w:lang w:val="fr-FR"/>
        </w:rPr>
        <w:t>appel avait été annulé pour des raisons procédurales, l</w:t>
      </w:r>
      <w:r w:rsidR="00BF495C">
        <w:rPr>
          <w:lang w:val="fr-FR"/>
        </w:rPr>
        <w:t>’</w:t>
      </w:r>
      <w:r>
        <w:rPr>
          <w:lang w:val="fr-FR"/>
        </w:rPr>
        <w:t>article 597 § 3 du CPP interdisait uniquement d</w:t>
      </w:r>
      <w:r w:rsidR="00BF495C">
        <w:rPr>
          <w:lang w:val="fr-FR"/>
        </w:rPr>
        <w:t>’</w:t>
      </w:r>
      <w:r>
        <w:rPr>
          <w:lang w:val="fr-FR"/>
        </w:rPr>
        <w:t>appliquer une peine plus forte que celle infligée dans le jugement de première instance.</w:t>
      </w:r>
    </w:p>
    <w:p w:rsidR="00F606DC" w:rsidRPr="0072720E" w:rsidRDefault="00F606DC" w:rsidP="005450A6">
      <w:pPr>
        <w:pStyle w:val="ECHRHeading2"/>
        <w:rPr>
          <w:lang w:val="fr-FR"/>
        </w:rPr>
      </w:pPr>
      <w:r w:rsidRPr="0072720E">
        <w:rPr>
          <w:lang w:val="fr-FR"/>
        </w:rPr>
        <w:lastRenderedPageBreak/>
        <w:t>B.  Le droit interne pertinent</w:t>
      </w:r>
    </w:p>
    <w:p w:rsidR="00F606DC" w:rsidRDefault="00F606DC" w:rsidP="005450A6">
      <w:pPr>
        <w:pStyle w:val="ECHRHeading3"/>
        <w:rPr>
          <w:lang w:val="fr-FR"/>
        </w:rPr>
      </w:pPr>
      <w:r>
        <w:rPr>
          <w:lang w:val="fr-FR"/>
        </w:rPr>
        <w:t>1.  La procédure abrégée</w:t>
      </w:r>
    </w:p>
    <w:p w:rsidR="00421F1F" w:rsidRDefault="00F606DC" w:rsidP="005450A6">
      <w:pPr>
        <w:pStyle w:val="ECHRPara"/>
        <w:rPr>
          <w:lang w:val="fr-FR"/>
        </w:rPr>
      </w:pPr>
      <w:bookmarkStart w:id="7" w:name="giudizioabbreviato1"/>
      <w:r>
        <w:rPr>
          <w:lang w:val="fr-FR"/>
        </w:rPr>
        <w:t>19</w:t>
      </w:r>
      <w:bookmarkEnd w:id="7"/>
      <w:r>
        <w:rPr>
          <w:lang w:val="fr-FR"/>
        </w:rPr>
        <w:t xml:space="preserve">.  La procédure abrégée </w:t>
      </w:r>
      <w:r w:rsidRPr="001269BE">
        <w:rPr>
          <w:lang w:val="fr-FR"/>
        </w:rPr>
        <w:t>est régie par les articles 438 et 441 à 443 du CPP. Elle se fonde sur l</w:t>
      </w:r>
      <w:r w:rsidR="00BF495C">
        <w:rPr>
          <w:lang w:val="fr-FR"/>
        </w:rPr>
        <w:t>’</w:t>
      </w:r>
      <w:r w:rsidRPr="001269BE">
        <w:rPr>
          <w:lang w:val="fr-FR"/>
        </w:rPr>
        <w:t>hypothèse que l</w:t>
      </w:r>
      <w:r w:rsidR="00BF495C">
        <w:rPr>
          <w:lang w:val="fr-FR"/>
        </w:rPr>
        <w:t>’</w:t>
      </w:r>
      <w:r w:rsidRPr="001269BE">
        <w:rPr>
          <w:lang w:val="fr-FR"/>
        </w:rPr>
        <w:t>affaire peut être tranchée en l</w:t>
      </w:r>
      <w:r w:rsidR="00BF495C">
        <w:rPr>
          <w:lang w:val="fr-FR"/>
        </w:rPr>
        <w:t>’</w:t>
      </w:r>
      <w:r w:rsidRPr="001269BE">
        <w:rPr>
          <w:lang w:val="fr-FR"/>
        </w:rPr>
        <w:t>état (</w:t>
      </w:r>
      <w:r w:rsidRPr="001269BE">
        <w:rPr>
          <w:i/>
          <w:lang w:val="fr-FR"/>
        </w:rPr>
        <w:t>allo stato degli atti</w:t>
      </w:r>
      <w:r w:rsidRPr="001269BE">
        <w:rPr>
          <w:lang w:val="fr-FR"/>
        </w:rPr>
        <w:t>) lors de l</w:t>
      </w:r>
      <w:r w:rsidR="00BF495C">
        <w:rPr>
          <w:lang w:val="fr-FR"/>
        </w:rPr>
        <w:t>’</w:t>
      </w:r>
      <w:r w:rsidRPr="001269BE">
        <w:rPr>
          <w:lang w:val="fr-FR"/>
        </w:rPr>
        <w:t>audience préliminaire.</w:t>
      </w:r>
      <w:r w:rsidRPr="00D078F6">
        <w:rPr>
          <w:lang w:val="fr-FR"/>
        </w:rPr>
        <w:t xml:space="preserve"> La demande peut être faite, oralement ou par écrit, tant que les conclusions n</w:t>
      </w:r>
      <w:r w:rsidR="00BF495C">
        <w:rPr>
          <w:lang w:val="fr-FR"/>
        </w:rPr>
        <w:t>’</w:t>
      </w:r>
      <w:r w:rsidRPr="00D078F6">
        <w:rPr>
          <w:lang w:val="fr-FR"/>
        </w:rPr>
        <w:t>ont pas été présentées à l</w:t>
      </w:r>
      <w:r w:rsidR="00BF495C">
        <w:rPr>
          <w:lang w:val="fr-FR"/>
        </w:rPr>
        <w:t>’</w:t>
      </w:r>
      <w:r w:rsidRPr="00D078F6">
        <w:rPr>
          <w:lang w:val="fr-FR"/>
        </w:rPr>
        <w:t xml:space="preserve">audience préliminaire. </w:t>
      </w:r>
      <w:r w:rsidRPr="001269BE">
        <w:rPr>
          <w:lang w:val="fr-FR"/>
        </w:rPr>
        <w:t>En cas d</w:t>
      </w:r>
      <w:r w:rsidR="00BF495C">
        <w:rPr>
          <w:lang w:val="fr-FR"/>
        </w:rPr>
        <w:t>’</w:t>
      </w:r>
      <w:r w:rsidRPr="001269BE">
        <w:rPr>
          <w:lang w:val="fr-FR"/>
        </w:rPr>
        <w:t>adoption de la procédure abrégée, l</w:t>
      </w:r>
      <w:r w:rsidR="00BF495C">
        <w:rPr>
          <w:lang w:val="fr-FR"/>
        </w:rPr>
        <w:t>’</w:t>
      </w:r>
      <w:r w:rsidRPr="001269BE">
        <w:rPr>
          <w:lang w:val="fr-FR"/>
        </w:rPr>
        <w:t>audience a lieu en chambre du conseil et est consacrée aux plaidoiries des parties. En principe, les parties doivent se baser sur les pièces figurant dans le dossier du parquet</w:t>
      </w:r>
      <w:r w:rsidRPr="00D078F6">
        <w:rPr>
          <w:lang w:val="fr-FR"/>
        </w:rPr>
        <w:t>, même si, à titre exceptionnel, des preuves orales peuvent être admises</w:t>
      </w:r>
      <w:r w:rsidRPr="001269BE">
        <w:rPr>
          <w:lang w:val="fr-FR"/>
        </w:rPr>
        <w:t>. En particulier, l</w:t>
      </w:r>
      <w:r w:rsidR="00BF495C">
        <w:rPr>
          <w:lang w:val="fr-FR"/>
        </w:rPr>
        <w:t>’</w:t>
      </w:r>
      <w:r w:rsidRPr="001269BE">
        <w:rPr>
          <w:lang w:val="fr-FR"/>
        </w:rPr>
        <w:t>article 438 § 5 du CPP prévoit que</w:t>
      </w:r>
    </w:p>
    <w:p w:rsidR="00F606DC" w:rsidRPr="001269BE" w:rsidRDefault="00F606DC" w:rsidP="005450A6">
      <w:pPr>
        <w:pStyle w:val="ECHRParaQuote"/>
        <w:rPr>
          <w:lang w:val="fr-FR"/>
        </w:rPr>
      </w:pPr>
      <w:r w:rsidRPr="001269BE">
        <w:rPr>
          <w:lang w:val="fr-FR"/>
        </w:rPr>
        <w:t>« L</w:t>
      </w:r>
      <w:r w:rsidR="00BF495C">
        <w:rPr>
          <w:lang w:val="fr-FR"/>
        </w:rPr>
        <w:t>’</w:t>
      </w:r>
      <w:r w:rsidRPr="00D078F6">
        <w:rPr>
          <w:lang w:val="fr-FR"/>
        </w:rPr>
        <w:t>accusé (...) peut subordonner sa demande à la production de nouvelles preuves nécessaires à la décision. Le juge adopte la procédure abrégée si la production de ces preuves est nécessaire pour la décision et compatible avec les finalités d</w:t>
      </w:r>
      <w:r w:rsidR="00BF495C">
        <w:rPr>
          <w:lang w:val="fr-FR"/>
        </w:rPr>
        <w:t>’</w:t>
      </w:r>
      <w:r w:rsidRPr="00D078F6">
        <w:rPr>
          <w:lang w:val="fr-FR"/>
        </w:rPr>
        <w:t>économie propres à la procédure, compte tenu des pièces déjà recueillies et pouvant être utilisées. Dans ce cas, le ministère public peut demander l</w:t>
      </w:r>
      <w:r w:rsidR="00BF495C">
        <w:rPr>
          <w:lang w:val="fr-FR"/>
        </w:rPr>
        <w:t>’</w:t>
      </w:r>
      <w:r w:rsidRPr="00D078F6">
        <w:rPr>
          <w:lang w:val="fr-FR"/>
        </w:rPr>
        <w:t>admission d</w:t>
      </w:r>
      <w:r w:rsidR="00BF495C">
        <w:rPr>
          <w:lang w:val="fr-FR"/>
        </w:rPr>
        <w:t>’</w:t>
      </w:r>
      <w:r w:rsidRPr="00D078F6">
        <w:rPr>
          <w:lang w:val="fr-FR"/>
        </w:rPr>
        <w:t>une preuve contraire. (...)</w:t>
      </w:r>
      <w:r>
        <w:rPr>
          <w:lang w:val="fr-FR"/>
        </w:rPr>
        <w:t>. »</w:t>
      </w:r>
    </w:p>
    <w:p w:rsidR="00421F1F" w:rsidRDefault="00F606DC" w:rsidP="005450A6">
      <w:pPr>
        <w:pStyle w:val="ECHRPara"/>
        <w:rPr>
          <w:lang w:val="fr-FR"/>
        </w:rPr>
      </w:pPr>
      <w:bookmarkStart w:id="8" w:name="giudizioabbreviato2"/>
      <w:r>
        <w:rPr>
          <w:lang w:val="fr-FR"/>
        </w:rPr>
        <w:t>20</w:t>
      </w:r>
      <w:bookmarkEnd w:id="8"/>
      <w:r w:rsidRPr="001269BE">
        <w:rPr>
          <w:lang w:val="fr-FR"/>
        </w:rPr>
        <w:t>.  Si le juge décide de condamner l</w:t>
      </w:r>
      <w:r w:rsidR="00BF495C">
        <w:rPr>
          <w:lang w:val="fr-FR"/>
        </w:rPr>
        <w:t>’</w:t>
      </w:r>
      <w:r w:rsidRPr="001269BE">
        <w:rPr>
          <w:lang w:val="fr-FR"/>
        </w:rPr>
        <w:t>accusé, la peine infligée est réduite d</w:t>
      </w:r>
      <w:r w:rsidR="00BF495C">
        <w:rPr>
          <w:lang w:val="fr-FR"/>
        </w:rPr>
        <w:t>’</w:t>
      </w:r>
      <w:r w:rsidRPr="001269BE">
        <w:rPr>
          <w:lang w:val="fr-FR"/>
        </w:rPr>
        <w:t xml:space="preserve">un tiers (article 442 § 2). Les dispositions internes pertinentes sont </w:t>
      </w:r>
      <w:r w:rsidRPr="00D078F6">
        <w:rPr>
          <w:lang w:val="fr-FR"/>
        </w:rPr>
        <w:t>décrites dans l</w:t>
      </w:r>
      <w:r w:rsidR="00BF495C">
        <w:rPr>
          <w:lang w:val="fr-FR"/>
        </w:rPr>
        <w:t>’</w:t>
      </w:r>
      <w:r w:rsidRPr="00D078F6">
        <w:rPr>
          <w:lang w:val="fr-FR"/>
        </w:rPr>
        <w:t xml:space="preserve">arrêt </w:t>
      </w:r>
      <w:r w:rsidRPr="00D078F6">
        <w:rPr>
          <w:i/>
          <w:lang w:val="fr-FR"/>
        </w:rPr>
        <w:t>Hermi c.</w:t>
      </w:r>
      <w:r w:rsidR="0009064A">
        <w:rPr>
          <w:i/>
          <w:lang w:val="fr-FR"/>
        </w:rPr>
        <w:t xml:space="preserve"> </w:t>
      </w:r>
      <w:r w:rsidRPr="00D078F6">
        <w:rPr>
          <w:i/>
          <w:lang w:val="fr-FR"/>
        </w:rPr>
        <w:t xml:space="preserve">Italie </w:t>
      </w:r>
      <w:r w:rsidRPr="00D078F6">
        <w:rPr>
          <w:lang w:val="fr-FR"/>
        </w:rPr>
        <w:t>([GC], n</w:t>
      </w:r>
      <w:r w:rsidRPr="00D078F6">
        <w:rPr>
          <w:vertAlign w:val="superscript"/>
          <w:lang w:val="fr-FR"/>
        </w:rPr>
        <w:t>o</w:t>
      </w:r>
      <w:r w:rsidR="0009064A">
        <w:rPr>
          <w:vertAlign w:val="superscript"/>
          <w:lang w:val="fr-FR"/>
        </w:rPr>
        <w:t xml:space="preserve"> </w:t>
      </w:r>
      <w:r w:rsidR="00421F1F">
        <w:rPr>
          <w:lang w:val="fr-FR"/>
        </w:rPr>
        <w:t>18114/02, §§ 27-28, CEDH </w:t>
      </w:r>
      <w:r w:rsidRPr="00D078F6">
        <w:rPr>
          <w:lang w:val="fr-FR"/>
        </w:rPr>
        <w:t>2006</w:t>
      </w:r>
      <w:r w:rsidRPr="00D078F6">
        <w:rPr>
          <w:lang w:val="fr-FR"/>
        </w:rPr>
        <w:noBreakHyphen/>
      </w:r>
      <w:r>
        <w:rPr>
          <w:lang w:val="fr-FR"/>
        </w:rPr>
        <w:t xml:space="preserve">XII ; voir également </w:t>
      </w:r>
      <w:r w:rsidRPr="00D078F6">
        <w:rPr>
          <w:i/>
          <w:lang w:val="fr-FR"/>
        </w:rPr>
        <w:t xml:space="preserve">Fera c. </w:t>
      </w:r>
      <w:r>
        <w:rPr>
          <w:i/>
          <w:lang w:val="fr-FR"/>
        </w:rPr>
        <w:t>Italie</w:t>
      </w:r>
      <w:r>
        <w:rPr>
          <w:lang w:val="fr-FR"/>
        </w:rPr>
        <w:t>,</w:t>
      </w:r>
      <w:r w:rsidRPr="00D078F6">
        <w:rPr>
          <w:lang w:val="fr-FR"/>
        </w:rPr>
        <w:t xml:space="preserve"> n</w:t>
      </w:r>
      <w:r w:rsidRPr="00D078F6">
        <w:rPr>
          <w:vertAlign w:val="superscript"/>
          <w:lang w:val="fr-FR"/>
        </w:rPr>
        <w:t>o</w:t>
      </w:r>
      <w:r w:rsidRPr="00D078F6">
        <w:rPr>
          <w:lang w:val="fr-FR"/>
        </w:rPr>
        <w:t xml:space="preserve"> 45057/98, </w:t>
      </w:r>
      <w:r>
        <w:rPr>
          <w:lang w:val="fr-FR"/>
        </w:rPr>
        <w:t xml:space="preserve">§§ 30-34, </w:t>
      </w:r>
      <w:r w:rsidR="00421F1F">
        <w:rPr>
          <w:lang w:val="fr-FR"/>
        </w:rPr>
        <w:t>21 </w:t>
      </w:r>
      <w:r w:rsidRPr="00D078F6">
        <w:rPr>
          <w:lang w:val="fr-FR"/>
        </w:rPr>
        <w:t>avril 2005</w:t>
      </w:r>
      <w:r>
        <w:rPr>
          <w:lang w:val="fr-FR"/>
        </w:rPr>
        <w:t>, et</w:t>
      </w:r>
      <w:r w:rsidRPr="00183752">
        <w:rPr>
          <w:lang w:val="fr-FR"/>
        </w:rPr>
        <w:t xml:space="preserve"> </w:t>
      </w:r>
      <w:r w:rsidRPr="00183752">
        <w:rPr>
          <w:i/>
          <w:lang w:val="fr-FR"/>
        </w:rPr>
        <w:t>Scoppola c.</w:t>
      </w:r>
      <w:r w:rsidR="0009064A">
        <w:rPr>
          <w:i/>
          <w:lang w:val="fr-FR"/>
        </w:rPr>
        <w:t xml:space="preserve"> </w:t>
      </w:r>
      <w:r w:rsidRPr="00183752">
        <w:rPr>
          <w:i/>
          <w:lang w:val="fr-FR"/>
        </w:rPr>
        <w:t>Italie (n</w:t>
      </w:r>
      <w:r w:rsidR="00421F1F" w:rsidRPr="00421F1F">
        <w:rPr>
          <w:i/>
          <w:vertAlign w:val="superscript"/>
          <w:lang w:val="fr-FR"/>
        </w:rPr>
        <w:t>o</w:t>
      </w:r>
      <w:r w:rsidRPr="00183752">
        <w:rPr>
          <w:i/>
          <w:lang w:val="fr-FR"/>
        </w:rPr>
        <w:t xml:space="preserve"> 2)</w:t>
      </w:r>
      <w:r w:rsidRPr="00183752">
        <w:rPr>
          <w:lang w:val="fr-FR"/>
        </w:rPr>
        <w:t xml:space="preserve"> [GC], n</w:t>
      </w:r>
      <w:r w:rsidR="00421F1F" w:rsidRPr="00421F1F">
        <w:rPr>
          <w:vertAlign w:val="superscript"/>
          <w:lang w:val="fr-FR"/>
        </w:rPr>
        <w:t>o</w:t>
      </w:r>
      <w:r w:rsidR="0009064A">
        <w:rPr>
          <w:lang w:val="fr-FR"/>
        </w:rPr>
        <w:t xml:space="preserve"> </w:t>
      </w:r>
      <w:r>
        <w:rPr>
          <w:lang w:val="fr-FR"/>
        </w:rPr>
        <w:t>10249/03</w:t>
      </w:r>
      <w:r w:rsidRPr="00183752">
        <w:rPr>
          <w:lang w:val="fr-FR"/>
        </w:rPr>
        <w:t>, §§ 27-28, 17</w:t>
      </w:r>
      <w:r>
        <w:rPr>
          <w:lang w:val="fr-FR"/>
        </w:rPr>
        <w:t> </w:t>
      </w:r>
      <w:r w:rsidRPr="00183752">
        <w:rPr>
          <w:lang w:val="fr-FR"/>
        </w:rPr>
        <w:t>septembre 2009</w:t>
      </w:r>
      <w:r>
        <w:rPr>
          <w:lang w:val="fr-FR"/>
        </w:rPr>
        <w:t>).</w:t>
      </w:r>
    </w:p>
    <w:p w:rsidR="00F606DC" w:rsidRPr="003C23D3" w:rsidRDefault="00F606DC" w:rsidP="005450A6">
      <w:pPr>
        <w:pStyle w:val="ECHRHeading3"/>
        <w:rPr>
          <w:i w:val="0"/>
          <w:lang w:val="fr-FR"/>
        </w:rPr>
      </w:pPr>
      <w:r>
        <w:rPr>
          <w:lang w:val="fr-FR"/>
        </w:rPr>
        <w:t>2.  L</w:t>
      </w:r>
      <w:r w:rsidR="00BF495C">
        <w:rPr>
          <w:lang w:val="fr-FR"/>
        </w:rPr>
        <w:t>’</w:t>
      </w:r>
      <w:r>
        <w:rPr>
          <w:lang w:val="fr-FR"/>
        </w:rPr>
        <w:t xml:space="preserve">interdiction de </w:t>
      </w:r>
      <w:r>
        <w:rPr>
          <w:i w:val="0"/>
          <w:lang w:val="fr-FR"/>
        </w:rPr>
        <w:t>reformatio in pejus</w:t>
      </w:r>
    </w:p>
    <w:p w:rsidR="00F606DC" w:rsidRDefault="00F606DC" w:rsidP="005450A6">
      <w:pPr>
        <w:pStyle w:val="ECHRPara"/>
        <w:rPr>
          <w:lang w:val="fr-FR"/>
        </w:rPr>
      </w:pPr>
      <w:bookmarkStart w:id="9" w:name="article597cpp"/>
      <w:r>
        <w:rPr>
          <w:lang w:val="fr-FR"/>
        </w:rPr>
        <w:t>21</w:t>
      </w:r>
      <w:bookmarkEnd w:id="9"/>
      <w:r>
        <w:rPr>
          <w:lang w:val="fr-FR"/>
        </w:rPr>
        <w:t>.  Dans ses parties pertinentes, l</w:t>
      </w:r>
      <w:r w:rsidR="00BF495C">
        <w:rPr>
          <w:lang w:val="fr-FR"/>
        </w:rPr>
        <w:t>’</w:t>
      </w:r>
      <w:r>
        <w:rPr>
          <w:lang w:val="fr-FR"/>
        </w:rPr>
        <w:t>article 597 § 3 du CPP se lit comme suit :</w:t>
      </w:r>
    </w:p>
    <w:p w:rsidR="00F606DC" w:rsidRDefault="00F606DC" w:rsidP="005450A6">
      <w:pPr>
        <w:pStyle w:val="ECHRParaQuote"/>
        <w:rPr>
          <w:lang w:val="fr-FR"/>
        </w:rPr>
      </w:pPr>
      <w:r>
        <w:rPr>
          <w:lang w:val="fr-FR"/>
        </w:rPr>
        <w:t>« Lorsque l</w:t>
      </w:r>
      <w:r w:rsidR="00BF495C">
        <w:rPr>
          <w:lang w:val="fr-FR"/>
        </w:rPr>
        <w:t>’</w:t>
      </w:r>
      <w:r>
        <w:rPr>
          <w:lang w:val="fr-FR"/>
        </w:rPr>
        <w:t>appel est interjeté seulement par l</w:t>
      </w:r>
      <w:r w:rsidR="00BF495C">
        <w:rPr>
          <w:lang w:val="fr-FR"/>
        </w:rPr>
        <w:t>’</w:t>
      </w:r>
      <w:r>
        <w:rPr>
          <w:lang w:val="fr-FR"/>
        </w:rPr>
        <w:t>accusé, le juge ne peut ni infliger une peine plus forte par type ou quantité, ni appliquer une mesure de sûreté nouvelle ou plus grave, ni acquitter l</w:t>
      </w:r>
      <w:r w:rsidR="00BF495C">
        <w:rPr>
          <w:lang w:val="fr-FR"/>
        </w:rPr>
        <w:t>’</w:t>
      </w:r>
      <w:r>
        <w:rPr>
          <w:lang w:val="fr-FR"/>
        </w:rPr>
        <w:t>accusé pour une cause moins favorable que celle énoncée dans le jugement attaqué ni révoquer des bénéfices (</w:t>
      </w:r>
      <w:r w:rsidR="00421F1F">
        <w:rPr>
          <w:lang w:val="fr-FR"/>
        </w:rPr>
        <w:t>...</w:t>
      </w:r>
      <w:r>
        <w:rPr>
          <w:lang w:val="fr-FR"/>
        </w:rPr>
        <w:t>). »</w:t>
      </w:r>
    </w:p>
    <w:p w:rsidR="00F606DC" w:rsidRDefault="00F606DC" w:rsidP="005450A6">
      <w:pPr>
        <w:pStyle w:val="ECHRHeading3"/>
        <w:rPr>
          <w:rFonts w:eastAsia="Times New Roman"/>
          <w:lang w:val="fr-FR"/>
        </w:rPr>
      </w:pPr>
      <w:r>
        <w:rPr>
          <w:rFonts w:eastAsia="Times New Roman"/>
          <w:lang w:val="fr-FR"/>
        </w:rPr>
        <w:t>3.  La réparation pour détention « injuste »</w:t>
      </w:r>
    </w:p>
    <w:p w:rsidR="00F606DC" w:rsidRPr="0072720E" w:rsidRDefault="00F606DC" w:rsidP="005450A6">
      <w:pPr>
        <w:pStyle w:val="ECHRPara"/>
        <w:rPr>
          <w:lang w:val="fr-FR"/>
        </w:rPr>
      </w:pPr>
      <w:bookmarkStart w:id="10" w:name="articolo314CPP"/>
      <w:r>
        <w:rPr>
          <w:lang w:val="fr-FR"/>
        </w:rPr>
        <w:t>22</w:t>
      </w:r>
      <w:bookmarkEnd w:id="10"/>
      <w:r>
        <w:rPr>
          <w:lang w:val="fr-FR"/>
        </w:rPr>
        <w:t>.  </w:t>
      </w:r>
      <w:r w:rsidRPr="008F309E">
        <w:rPr>
          <w:lang w:val="fr-FR"/>
        </w:rPr>
        <w:t>L</w:t>
      </w:r>
      <w:r w:rsidR="00BF495C">
        <w:rPr>
          <w:lang w:val="fr-FR"/>
        </w:rPr>
        <w:t>’</w:t>
      </w:r>
      <w:r w:rsidRPr="008F309E">
        <w:rPr>
          <w:lang w:val="fr-FR"/>
        </w:rPr>
        <w:t>article 314 du CPP prévoit un droit à réparation pour la détention provisoire dite « injuste », dans deux cas distincts : lorsque, à l</w:t>
      </w:r>
      <w:r w:rsidR="00BF495C">
        <w:rPr>
          <w:lang w:val="fr-FR"/>
        </w:rPr>
        <w:t>’</w:t>
      </w:r>
      <w:r w:rsidRPr="008F309E">
        <w:rPr>
          <w:lang w:val="fr-FR"/>
        </w:rPr>
        <w:t>issue de la procédure pénale sur le fond, l</w:t>
      </w:r>
      <w:r w:rsidR="00BF495C">
        <w:rPr>
          <w:lang w:val="fr-FR"/>
        </w:rPr>
        <w:t>’</w:t>
      </w:r>
      <w:r w:rsidRPr="008F309E">
        <w:rPr>
          <w:lang w:val="fr-FR"/>
        </w:rPr>
        <w:t>accusé est acquitté (article 314 § 1) ou lorsqu</w:t>
      </w:r>
      <w:r w:rsidR="00BF495C">
        <w:rPr>
          <w:lang w:val="fr-FR"/>
        </w:rPr>
        <w:t>’</w:t>
      </w:r>
      <w:r w:rsidRPr="008F309E">
        <w:rPr>
          <w:lang w:val="fr-FR"/>
        </w:rPr>
        <w:t xml:space="preserve">il est établi que le suspect a été placé ou maintenu en détention provisoire au mépris des articles 273 et 280 du CPP </w:t>
      </w:r>
      <w:r w:rsidRPr="008F309E">
        <w:rPr>
          <w:color w:val="000000"/>
          <w:lang w:val="fr-FR"/>
        </w:rPr>
        <w:t>(</w:t>
      </w:r>
      <w:r w:rsidRPr="008F309E">
        <w:rPr>
          <w:lang w:val="fr-FR"/>
        </w:rPr>
        <w:t xml:space="preserve">article 314 § 2 ; </w:t>
      </w:r>
      <w:r w:rsidRPr="008F309E">
        <w:rPr>
          <w:color w:val="000000"/>
          <w:lang w:val="fr-FR"/>
        </w:rPr>
        <w:t xml:space="preserve">voir, pour la jurisprudence interne faisant application de ceci, </w:t>
      </w:r>
      <w:r w:rsidRPr="008F309E">
        <w:rPr>
          <w:i/>
          <w:color w:val="000000"/>
          <w:lang w:val="fr-FR"/>
        </w:rPr>
        <w:t xml:space="preserve">N.C. c. Italie </w:t>
      </w:r>
      <w:r w:rsidRPr="008F309E">
        <w:rPr>
          <w:color w:val="000000"/>
          <w:lang w:val="fr-FR"/>
        </w:rPr>
        <w:t>[GC], n</w:t>
      </w:r>
      <w:r w:rsidR="00421F1F" w:rsidRPr="00421F1F">
        <w:rPr>
          <w:color w:val="000000"/>
          <w:vertAlign w:val="superscript"/>
          <w:lang w:val="fr-FR"/>
        </w:rPr>
        <w:t>o</w:t>
      </w:r>
      <w:r w:rsidRPr="008F309E">
        <w:rPr>
          <w:color w:val="000000"/>
          <w:lang w:val="fr-FR"/>
        </w:rPr>
        <w:t> </w:t>
      </w:r>
      <w:r w:rsidRPr="008F309E">
        <w:rPr>
          <w:lang w:val="fr-FR"/>
        </w:rPr>
        <w:t>24952/94</w:t>
      </w:r>
      <w:r w:rsidRPr="008F309E">
        <w:rPr>
          <w:color w:val="000000"/>
          <w:lang w:val="fr-FR"/>
        </w:rPr>
        <w:t>, §§</w:t>
      </w:r>
      <w:r w:rsidR="0009064A">
        <w:rPr>
          <w:color w:val="000000"/>
          <w:lang w:val="fr-FR"/>
        </w:rPr>
        <w:t xml:space="preserve"> </w:t>
      </w:r>
      <w:r w:rsidRPr="008F309E">
        <w:rPr>
          <w:color w:val="000000"/>
          <w:lang w:val="fr-FR"/>
        </w:rPr>
        <w:t>30-31, CEDH 2002-X).</w:t>
      </w:r>
    </w:p>
    <w:p w:rsidR="00F606DC" w:rsidRPr="0072720E" w:rsidRDefault="00F606DC" w:rsidP="005450A6">
      <w:pPr>
        <w:pStyle w:val="ECHRTitle1"/>
        <w:rPr>
          <w:lang w:val="fr-FR"/>
        </w:rPr>
      </w:pPr>
      <w:r w:rsidRPr="0072720E">
        <w:rPr>
          <w:lang w:val="fr-FR"/>
        </w:rPr>
        <w:lastRenderedPageBreak/>
        <w:t>GRIEFS</w:t>
      </w:r>
    </w:p>
    <w:p w:rsidR="00F606DC" w:rsidRDefault="00F606DC" w:rsidP="005450A6">
      <w:pPr>
        <w:pStyle w:val="ECHRPara"/>
        <w:rPr>
          <w:lang w:val="fr-FR"/>
        </w:rPr>
      </w:pPr>
      <w:r>
        <w:rPr>
          <w:lang w:val="fr-FR"/>
        </w:rPr>
        <w:t>23.  </w:t>
      </w:r>
      <w:r w:rsidRPr="0072720E">
        <w:rPr>
          <w:lang w:val="fr-FR"/>
        </w:rPr>
        <w:t>Invoquant l</w:t>
      </w:r>
      <w:r w:rsidR="00BF495C">
        <w:rPr>
          <w:lang w:val="fr-FR"/>
        </w:rPr>
        <w:t>’</w:t>
      </w:r>
      <w:r w:rsidRPr="0072720E">
        <w:rPr>
          <w:lang w:val="fr-FR"/>
        </w:rPr>
        <w:t xml:space="preserve">article </w:t>
      </w:r>
      <w:r>
        <w:rPr>
          <w:lang w:val="fr-FR"/>
        </w:rPr>
        <w:t>6</w:t>
      </w:r>
      <w:r w:rsidRPr="0072720E">
        <w:rPr>
          <w:lang w:val="fr-FR"/>
        </w:rPr>
        <w:t xml:space="preserve"> de la Convention, le requérant se plaint d</w:t>
      </w:r>
      <w:r w:rsidR="00BF495C">
        <w:rPr>
          <w:lang w:val="fr-FR"/>
        </w:rPr>
        <w:t>’</w:t>
      </w:r>
      <w:r>
        <w:rPr>
          <w:lang w:val="fr-FR"/>
        </w:rPr>
        <w:t>un manque d</w:t>
      </w:r>
      <w:r w:rsidR="00BF495C">
        <w:rPr>
          <w:lang w:val="fr-FR"/>
        </w:rPr>
        <w:t>’</w:t>
      </w:r>
      <w:r>
        <w:rPr>
          <w:lang w:val="fr-FR"/>
        </w:rPr>
        <w:t>équité de la procédure pénale à son encontre</w:t>
      </w:r>
      <w:r w:rsidRPr="0072720E">
        <w:rPr>
          <w:lang w:val="fr-FR"/>
        </w:rPr>
        <w:t>.</w:t>
      </w:r>
    </w:p>
    <w:p w:rsidR="00F606DC" w:rsidRDefault="00F606DC" w:rsidP="005450A6">
      <w:pPr>
        <w:pStyle w:val="ECHRPara"/>
        <w:rPr>
          <w:lang w:val="fr-FR"/>
        </w:rPr>
      </w:pPr>
      <w:r>
        <w:rPr>
          <w:lang w:val="fr-FR"/>
        </w:rPr>
        <w:t>24.  Invoquant l</w:t>
      </w:r>
      <w:r w:rsidR="00BF495C">
        <w:rPr>
          <w:lang w:val="fr-FR"/>
        </w:rPr>
        <w:t>’</w:t>
      </w:r>
      <w:r>
        <w:rPr>
          <w:lang w:val="fr-FR"/>
        </w:rPr>
        <w:t>article 7 de la Convention, le requérant allègue avoir été condamné à une peine plus forte que celle prévue par la loi.</w:t>
      </w:r>
    </w:p>
    <w:p w:rsidR="00421F1F" w:rsidRDefault="00F606DC" w:rsidP="005450A6">
      <w:pPr>
        <w:pStyle w:val="ECHRPara"/>
        <w:rPr>
          <w:lang w:val="fr-FR"/>
        </w:rPr>
      </w:pPr>
      <w:r>
        <w:rPr>
          <w:lang w:val="fr-FR"/>
        </w:rPr>
        <w:t>25.  Invoquant les articles 5 et 13 de la Convention, le requérant affirme avoir subi une détention illégale et ne disposer d</w:t>
      </w:r>
      <w:r w:rsidR="00BF495C">
        <w:rPr>
          <w:lang w:val="fr-FR"/>
        </w:rPr>
        <w:t>’</w:t>
      </w:r>
      <w:r>
        <w:rPr>
          <w:lang w:val="fr-FR"/>
        </w:rPr>
        <w:t>aucun recours efficace pour faire valoir son droit à compensation.</w:t>
      </w:r>
    </w:p>
    <w:p w:rsidR="00F606DC" w:rsidRDefault="00F606DC" w:rsidP="005450A6">
      <w:pPr>
        <w:pStyle w:val="ECHRTitle1"/>
        <w:rPr>
          <w:lang w:val="fr-FR"/>
        </w:rPr>
      </w:pPr>
      <w:r w:rsidRPr="0072720E">
        <w:rPr>
          <w:lang w:val="fr-FR"/>
        </w:rPr>
        <w:t>EN DROIT</w:t>
      </w:r>
    </w:p>
    <w:p w:rsidR="00F606DC" w:rsidRPr="00D078F6" w:rsidRDefault="00F606DC" w:rsidP="005450A6">
      <w:pPr>
        <w:pStyle w:val="ECHRHeading2"/>
        <w:rPr>
          <w:lang w:val="fr-FR"/>
        </w:rPr>
      </w:pPr>
      <w:r>
        <w:rPr>
          <w:lang w:val="fr-FR"/>
        </w:rPr>
        <w:t>A.  Grief tiré de l</w:t>
      </w:r>
      <w:r w:rsidR="00BF495C">
        <w:rPr>
          <w:lang w:val="fr-FR"/>
        </w:rPr>
        <w:t>’</w:t>
      </w:r>
      <w:r>
        <w:rPr>
          <w:lang w:val="fr-FR"/>
        </w:rPr>
        <w:t>article 6 de la Convention</w:t>
      </w:r>
    </w:p>
    <w:p w:rsidR="00F606DC" w:rsidRDefault="00F606DC" w:rsidP="005450A6">
      <w:pPr>
        <w:pStyle w:val="ECHRPara"/>
        <w:rPr>
          <w:lang w:val="fr-FR"/>
        </w:rPr>
      </w:pPr>
      <w:r>
        <w:rPr>
          <w:lang w:val="fr-FR"/>
        </w:rPr>
        <w:t>26.  L</w:t>
      </w:r>
      <w:r w:rsidRPr="006B54C6">
        <w:rPr>
          <w:lang w:val="fr-FR"/>
        </w:rPr>
        <w:t>e requérant se plaint d</w:t>
      </w:r>
      <w:r w:rsidR="00BF495C">
        <w:rPr>
          <w:lang w:val="fr-FR"/>
        </w:rPr>
        <w:t>’</w:t>
      </w:r>
      <w:r>
        <w:rPr>
          <w:lang w:val="fr-FR"/>
        </w:rPr>
        <w:t>avoir été condamné sur la base des déclarations faites pendant les investigations préliminaires par X et Y, deux témoins que la défense n</w:t>
      </w:r>
      <w:r w:rsidR="00BF495C">
        <w:rPr>
          <w:lang w:val="fr-FR"/>
        </w:rPr>
        <w:t>’</w:t>
      </w:r>
      <w:r>
        <w:rPr>
          <w:lang w:val="fr-FR"/>
        </w:rPr>
        <w:t>a pas eu la possibilité d</w:t>
      </w:r>
      <w:r w:rsidR="00BF495C">
        <w:rPr>
          <w:lang w:val="fr-FR"/>
        </w:rPr>
        <w:t>’</w:t>
      </w:r>
      <w:r>
        <w:rPr>
          <w:lang w:val="fr-FR"/>
        </w:rPr>
        <w:t>interroger. Il déplore également le rejet de sa demande visant à obtenir une nouvelle audition de Y et conteste la pertinence et la force probatoire des éléments sur lesquels se fonde sa condamnation. Il allègue enfin que des circonstances favorables à la défense n</w:t>
      </w:r>
      <w:r w:rsidR="00BF495C">
        <w:rPr>
          <w:lang w:val="fr-FR"/>
        </w:rPr>
        <w:t>’</w:t>
      </w:r>
      <w:r>
        <w:rPr>
          <w:lang w:val="fr-FR"/>
        </w:rPr>
        <w:t>ont pas été dûment prises en compte par les juridictions internes.</w:t>
      </w:r>
    </w:p>
    <w:p w:rsidR="00F606DC" w:rsidRDefault="00F606DC" w:rsidP="005450A6">
      <w:pPr>
        <w:pStyle w:val="ECHRPara"/>
        <w:rPr>
          <w:lang w:val="fr-FR"/>
        </w:rPr>
      </w:pPr>
      <w:r>
        <w:rPr>
          <w:lang w:val="fr-FR"/>
        </w:rPr>
        <w:t>Le requérant invoque l</w:t>
      </w:r>
      <w:r w:rsidR="00BF495C">
        <w:rPr>
          <w:lang w:val="fr-FR"/>
        </w:rPr>
        <w:t>’</w:t>
      </w:r>
      <w:r>
        <w:rPr>
          <w:lang w:val="fr-FR"/>
        </w:rPr>
        <w:t>article 6 de la Convention, qui en</w:t>
      </w:r>
      <w:r w:rsidR="00421F1F">
        <w:rPr>
          <w:lang w:val="fr-FR"/>
        </w:rPr>
        <w:t xml:space="preserve"> </w:t>
      </w:r>
      <w:r>
        <w:rPr>
          <w:lang w:val="fr-FR"/>
        </w:rPr>
        <w:t>ses parties pertinentes est ainsi libellé :</w:t>
      </w:r>
    </w:p>
    <w:p w:rsidR="00F606DC" w:rsidRPr="006A15B4" w:rsidRDefault="00F606DC" w:rsidP="005450A6">
      <w:pPr>
        <w:pStyle w:val="ECHRParaQuote"/>
        <w:rPr>
          <w:lang w:val="fr-FR"/>
        </w:rPr>
      </w:pPr>
      <w:r w:rsidRPr="006A15B4">
        <w:rPr>
          <w:lang w:val="fr-FR"/>
        </w:rPr>
        <w:t>« 1.  Toute personne a droit à ce que sa cause soit entendue équitablement</w:t>
      </w:r>
      <w:r>
        <w:rPr>
          <w:lang w:val="fr-FR"/>
        </w:rPr>
        <w:t xml:space="preserve"> (</w:t>
      </w:r>
      <w:r w:rsidR="00421F1F">
        <w:rPr>
          <w:lang w:val="fr-FR"/>
        </w:rPr>
        <w:t>...</w:t>
      </w:r>
      <w:r>
        <w:rPr>
          <w:lang w:val="fr-FR"/>
        </w:rPr>
        <w:t>)</w:t>
      </w:r>
      <w:r w:rsidRPr="006A15B4">
        <w:rPr>
          <w:lang w:val="fr-FR"/>
        </w:rPr>
        <w:t xml:space="preserve"> par un tribunal </w:t>
      </w:r>
      <w:r>
        <w:rPr>
          <w:lang w:val="fr-FR"/>
        </w:rPr>
        <w:t>(</w:t>
      </w:r>
      <w:r w:rsidR="00421F1F">
        <w:rPr>
          <w:lang w:val="fr-FR"/>
        </w:rPr>
        <w:t>...</w:t>
      </w:r>
      <w:r>
        <w:rPr>
          <w:lang w:val="fr-FR"/>
        </w:rPr>
        <w:t>)</w:t>
      </w:r>
      <w:r w:rsidRPr="006A15B4">
        <w:rPr>
          <w:lang w:val="fr-FR"/>
        </w:rPr>
        <w:t xml:space="preserve"> qui décidera</w:t>
      </w:r>
      <w:r>
        <w:rPr>
          <w:lang w:val="fr-FR"/>
        </w:rPr>
        <w:t xml:space="preserve"> (</w:t>
      </w:r>
      <w:r w:rsidR="00421F1F">
        <w:rPr>
          <w:lang w:val="fr-FR"/>
        </w:rPr>
        <w:t>...</w:t>
      </w:r>
      <w:r>
        <w:rPr>
          <w:lang w:val="fr-FR"/>
        </w:rPr>
        <w:t>)</w:t>
      </w:r>
      <w:r w:rsidRPr="006A15B4">
        <w:rPr>
          <w:lang w:val="fr-FR"/>
        </w:rPr>
        <w:t xml:space="preserve"> du bien-fondé de toute accusation en matière pénale dirigée contre elle.</w:t>
      </w:r>
      <w:r>
        <w:rPr>
          <w:lang w:val="fr-FR"/>
        </w:rPr>
        <w:t xml:space="preserve"> (</w:t>
      </w:r>
      <w:r w:rsidR="00421F1F">
        <w:rPr>
          <w:lang w:val="fr-FR"/>
        </w:rPr>
        <w:t>...</w:t>
      </w:r>
      <w:r>
        <w:rPr>
          <w:lang w:val="fr-FR"/>
        </w:rPr>
        <w:t>).</w:t>
      </w:r>
    </w:p>
    <w:p w:rsidR="00F606DC" w:rsidRPr="006A15B4" w:rsidRDefault="00F606DC" w:rsidP="005450A6">
      <w:pPr>
        <w:pStyle w:val="ECHRParaQuote"/>
        <w:rPr>
          <w:lang w:val="fr-FR"/>
        </w:rPr>
      </w:pPr>
      <w:r>
        <w:rPr>
          <w:lang w:val="fr-FR"/>
        </w:rPr>
        <w:t>(</w:t>
      </w:r>
      <w:r w:rsidR="00421F1F">
        <w:rPr>
          <w:lang w:val="fr-FR"/>
        </w:rPr>
        <w:t>...</w:t>
      </w:r>
      <w:r>
        <w:rPr>
          <w:lang w:val="fr-FR"/>
        </w:rPr>
        <w:t>)</w:t>
      </w:r>
      <w:r w:rsidRPr="006A15B4">
        <w:rPr>
          <w:lang w:val="fr-FR"/>
        </w:rPr>
        <w:t>.</w:t>
      </w:r>
    </w:p>
    <w:p w:rsidR="00F606DC" w:rsidRPr="006A15B4" w:rsidRDefault="00F606DC" w:rsidP="005450A6">
      <w:pPr>
        <w:pStyle w:val="ECHRParaQuote"/>
        <w:rPr>
          <w:lang w:val="fr-FR"/>
        </w:rPr>
      </w:pPr>
      <w:r w:rsidRPr="006A15B4">
        <w:rPr>
          <w:lang w:val="fr-FR"/>
        </w:rPr>
        <w:t>3.  Tout accusé a droit notamment à :</w:t>
      </w:r>
    </w:p>
    <w:p w:rsidR="00F606DC" w:rsidRPr="006A15B4" w:rsidRDefault="00F606DC" w:rsidP="005450A6">
      <w:pPr>
        <w:pStyle w:val="ECHRParaQuote"/>
        <w:rPr>
          <w:lang w:val="fr-FR"/>
        </w:rPr>
      </w:pPr>
      <w:r>
        <w:rPr>
          <w:lang w:val="fr-FR"/>
        </w:rPr>
        <w:t>(</w:t>
      </w:r>
      <w:r w:rsidR="00421F1F">
        <w:rPr>
          <w:lang w:val="fr-FR"/>
        </w:rPr>
        <w:t>...</w:t>
      </w:r>
      <w:r>
        <w:rPr>
          <w:lang w:val="fr-FR"/>
        </w:rPr>
        <w:t>)</w:t>
      </w:r>
    </w:p>
    <w:p w:rsidR="00F606DC" w:rsidRPr="006A15B4" w:rsidRDefault="00F606DC" w:rsidP="005450A6">
      <w:pPr>
        <w:pStyle w:val="ECHRParaQuote"/>
        <w:rPr>
          <w:lang w:val="fr-FR"/>
        </w:rPr>
      </w:pPr>
      <w:r w:rsidRPr="006A15B4">
        <w:rPr>
          <w:lang w:val="fr-FR"/>
        </w:rPr>
        <w:t>d)  interroger ou faire interroger les témoins à charge et obtenir la convocation et l</w:t>
      </w:r>
      <w:r w:rsidR="00BF495C">
        <w:rPr>
          <w:lang w:val="fr-FR"/>
        </w:rPr>
        <w:t>’</w:t>
      </w:r>
      <w:r w:rsidRPr="006A15B4">
        <w:rPr>
          <w:lang w:val="fr-FR"/>
        </w:rPr>
        <w:t>interrogation des témoins à décharge dans les mêmes conditions que les témoins à charge ;</w:t>
      </w:r>
    </w:p>
    <w:p w:rsidR="00F606DC" w:rsidRPr="006A15B4" w:rsidRDefault="00F606DC" w:rsidP="005450A6">
      <w:pPr>
        <w:pStyle w:val="ECHRParaQuote"/>
        <w:rPr>
          <w:lang w:val="fr-FR"/>
        </w:rPr>
      </w:pPr>
      <w:r>
        <w:rPr>
          <w:lang w:val="fr-FR"/>
        </w:rPr>
        <w:t>(</w:t>
      </w:r>
      <w:r w:rsidR="00421F1F">
        <w:rPr>
          <w:lang w:val="fr-FR"/>
        </w:rPr>
        <w:t>...</w:t>
      </w:r>
      <w:r>
        <w:rPr>
          <w:lang w:val="fr-FR"/>
        </w:rPr>
        <w:t>)</w:t>
      </w:r>
      <w:r w:rsidRPr="006A15B4">
        <w:rPr>
          <w:lang w:val="fr-FR"/>
        </w:rPr>
        <w:t>. »</w:t>
      </w:r>
    </w:p>
    <w:p w:rsidR="00F606DC" w:rsidRDefault="00F606DC" w:rsidP="005450A6">
      <w:pPr>
        <w:pStyle w:val="ECHRPara"/>
        <w:rPr>
          <w:lang w:val="fr-FR"/>
        </w:rPr>
      </w:pPr>
      <w:r>
        <w:rPr>
          <w:lang w:val="fr-FR"/>
        </w:rPr>
        <w:t>27.  La Cour note tout d</w:t>
      </w:r>
      <w:r w:rsidR="00BF495C">
        <w:rPr>
          <w:lang w:val="fr-FR"/>
        </w:rPr>
        <w:t>’</w:t>
      </w:r>
      <w:r>
        <w:rPr>
          <w:lang w:val="fr-FR"/>
        </w:rPr>
        <w:t>abord que le requérant n</w:t>
      </w:r>
      <w:r w:rsidR="00BF495C">
        <w:rPr>
          <w:lang w:val="fr-FR"/>
        </w:rPr>
        <w:t>’</w:t>
      </w:r>
      <w:r>
        <w:rPr>
          <w:lang w:val="fr-FR"/>
        </w:rPr>
        <w:t>a pas pu « interroger ou faire interroger » X et Y, les deux principaux témoins à charge. En effet, les juridictions du fond ont utilisé, pour décider du bien-fondé des accusations, les déclarations que les témoins en question avaient faites au parquet au cours des investigations préliminaires. Elle observe cependant qu</w:t>
      </w:r>
      <w:r w:rsidR="00BF495C">
        <w:rPr>
          <w:lang w:val="fr-FR"/>
        </w:rPr>
        <w:t>’</w:t>
      </w:r>
      <w:r>
        <w:rPr>
          <w:lang w:val="fr-FR"/>
        </w:rPr>
        <w:t>il s</w:t>
      </w:r>
      <w:r w:rsidR="00BF495C">
        <w:rPr>
          <w:lang w:val="fr-FR"/>
        </w:rPr>
        <w:t>’</w:t>
      </w:r>
      <w:r>
        <w:rPr>
          <w:lang w:val="fr-FR"/>
        </w:rPr>
        <w:t>agissait d</w:t>
      </w:r>
      <w:r w:rsidR="00BF495C">
        <w:rPr>
          <w:lang w:val="fr-FR"/>
        </w:rPr>
        <w:t>’</w:t>
      </w:r>
      <w:r>
        <w:rPr>
          <w:lang w:val="fr-FR"/>
        </w:rPr>
        <w:t>une conséquence de l</w:t>
      </w:r>
      <w:r w:rsidR="00BF495C">
        <w:rPr>
          <w:lang w:val="fr-FR"/>
        </w:rPr>
        <w:t>’</w:t>
      </w:r>
      <w:r>
        <w:rPr>
          <w:lang w:val="fr-FR"/>
        </w:rPr>
        <w:t xml:space="preserve">adoption de la procédure abrégée, une démarche simplifiée dont la </w:t>
      </w:r>
      <w:r w:rsidRPr="00A07330">
        <w:rPr>
          <w:lang w:val="fr-FR"/>
        </w:rPr>
        <w:t>raison d</w:t>
      </w:r>
      <w:r w:rsidR="00BF495C">
        <w:rPr>
          <w:lang w:val="fr-FR"/>
        </w:rPr>
        <w:t>’</w:t>
      </w:r>
      <w:r w:rsidRPr="00A07330">
        <w:rPr>
          <w:lang w:val="fr-FR"/>
        </w:rPr>
        <w:t>être est l</w:t>
      </w:r>
      <w:r w:rsidR="00BF495C">
        <w:rPr>
          <w:lang w:val="fr-FR"/>
        </w:rPr>
        <w:t>’</w:t>
      </w:r>
      <w:r w:rsidRPr="00A07330">
        <w:rPr>
          <w:lang w:val="fr-FR"/>
        </w:rPr>
        <w:t>intention de l</w:t>
      </w:r>
      <w:r w:rsidR="00BF495C">
        <w:rPr>
          <w:lang w:val="fr-FR"/>
        </w:rPr>
        <w:t>’</w:t>
      </w:r>
      <w:r w:rsidRPr="00A07330">
        <w:rPr>
          <w:lang w:val="fr-FR"/>
        </w:rPr>
        <w:t>accusé d</w:t>
      </w:r>
      <w:r w:rsidR="00BF495C">
        <w:rPr>
          <w:lang w:val="fr-FR"/>
        </w:rPr>
        <w:t>’</w:t>
      </w:r>
      <w:r w:rsidRPr="00A07330">
        <w:rPr>
          <w:lang w:val="fr-FR"/>
        </w:rPr>
        <w:t xml:space="preserve">être </w:t>
      </w:r>
      <w:r w:rsidRPr="00A07330">
        <w:rPr>
          <w:lang w:val="fr-FR"/>
        </w:rPr>
        <w:lastRenderedPageBreak/>
        <w:t>jugé en l</w:t>
      </w:r>
      <w:r w:rsidR="00BF495C">
        <w:rPr>
          <w:lang w:val="fr-FR"/>
        </w:rPr>
        <w:t>’</w:t>
      </w:r>
      <w:r w:rsidRPr="00A07330">
        <w:rPr>
          <w:lang w:val="fr-FR"/>
        </w:rPr>
        <w:t>état, c</w:t>
      </w:r>
      <w:r w:rsidR="00BF495C">
        <w:rPr>
          <w:lang w:val="fr-FR"/>
        </w:rPr>
        <w:t>’</w:t>
      </w:r>
      <w:r w:rsidRPr="00A07330">
        <w:rPr>
          <w:lang w:val="fr-FR"/>
        </w:rPr>
        <w:t>est-à-dire sur la base des actes accomplis au cours de l</w:t>
      </w:r>
      <w:r w:rsidR="00BF495C">
        <w:rPr>
          <w:lang w:val="fr-FR"/>
        </w:rPr>
        <w:t>’</w:t>
      </w:r>
      <w:r w:rsidRPr="00A07330">
        <w:rPr>
          <w:lang w:val="fr-FR"/>
        </w:rPr>
        <w:t>instruction.</w:t>
      </w:r>
    </w:p>
    <w:p w:rsidR="00F606DC" w:rsidRDefault="00F606DC" w:rsidP="005450A6">
      <w:pPr>
        <w:pStyle w:val="ECHRPara"/>
        <w:rPr>
          <w:lang w:val="fr-FR"/>
        </w:rPr>
      </w:pPr>
      <w:r>
        <w:rPr>
          <w:lang w:val="fr-FR"/>
        </w:rPr>
        <w:t>28.  </w:t>
      </w:r>
      <w:r w:rsidRPr="00A07330">
        <w:rPr>
          <w:lang w:val="fr-FR"/>
        </w:rPr>
        <w:t>La Cour rappelle que la procédure abrégée entraîne des avantages indéniables pour l</w:t>
      </w:r>
      <w:r w:rsidR="00BF495C">
        <w:rPr>
          <w:lang w:val="fr-FR"/>
        </w:rPr>
        <w:t>’</w:t>
      </w:r>
      <w:r w:rsidRPr="00A07330">
        <w:rPr>
          <w:lang w:val="fr-FR"/>
        </w:rPr>
        <w:t>accusé : en cas de condamnation, il bénéficie d</w:t>
      </w:r>
      <w:r w:rsidR="00BF495C">
        <w:rPr>
          <w:lang w:val="fr-FR"/>
        </w:rPr>
        <w:t>’</w:t>
      </w:r>
      <w:r w:rsidRPr="00A07330">
        <w:rPr>
          <w:lang w:val="fr-FR"/>
        </w:rPr>
        <w:t>une importante réduction de peine et le parquet ne peut interjeter appel des jugements de condamnation qui ne modifient pas la qualification juridique de l</w:t>
      </w:r>
      <w:r w:rsidR="00BF495C">
        <w:rPr>
          <w:lang w:val="fr-FR"/>
        </w:rPr>
        <w:t>’</w:t>
      </w:r>
      <w:r w:rsidRPr="00A07330">
        <w:rPr>
          <w:lang w:val="fr-FR"/>
        </w:rPr>
        <w:t>infraction. En revanche, la procédure abrégée est assortie d</w:t>
      </w:r>
      <w:r w:rsidR="00BF495C">
        <w:rPr>
          <w:lang w:val="fr-FR"/>
        </w:rPr>
        <w:t>’</w:t>
      </w:r>
      <w:r w:rsidRPr="00A07330">
        <w:rPr>
          <w:lang w:val="fr-FR"/>
        </w:rPr>
        <w:t>un affaiblissement des garanties de procédure offertes par le droit interne, notamment en ce qui concerne la publicité des débats et la possibilité de demander la production d</w:t>
      </w:r>
      <w:r w:rsidR="00BF495C">
        <w:rPr>
          <w:lang w:val="fr-FR"/>
        </w:rPr>
        <w:t>’</w:t>
      </w:r>
      <w:r w:rsidRPr="00A07330">
        <w:rPr>
          <w:lang w:val="fr-FR"/>
        </w:rPr>
        <w:t>éléments de preuve non contenus dans le dossier du parquet (</w:t>
      </w:r>
      <w:r w:rsidRPr="00A07330">
        <w:rPr>
          <w:i/>
          <w:iCs/>
          <w:szCs w:val="24"/>
          <w:lang w:val="fr-FR"/>
        </w:rPr>
        <w:t xml:space="preserve">Kwiatkowska c. Italie </w:t>
      </w:r>
      <w:r w:rsidRPr="00A07330">
        <w:rPr>
          <w:szCs w:val="24"/>
          <w:lang w:val="fr-FR"/>
        </w:rPr>
        <w:t>(déc.), n</w:t>
      </w:r>
      <w:r w:rsidRPr="00A07330">
        <w:rPr>
          <w:szCs w:val="24"/>
          <w:vertAlign w:val="superscript"/>
          <w:lang w:val="fr-FR"/>
        </w:rPr>
        <w:t>o</w:t>
      </w:r>
      <w:r w:rsidR="0009064A">
        <w:rPr>
          <w:szCs w:val="24"/>
          <w:lang w:val="fr-FR"/>
        </w:rPr>
        <w:t xml:space="preserve"> </w:t>
      </w:r>
      <w:r w:rsidRPr="00A07330">
        <w:rPr>
          <w:szCs w:val="24"/>
          <w:lang w:val="fr-FR"/>
        </w:rPr>
        <w:t>52868/99, 30</w:t>
      </w:r>
      <w:r w:rsidR="0009064A">
        <w:rPr>
          <w:szCs w:val="24"/>
          <w:lang w:val="fr-FR"/>
        </w:rPr>
        <w:t xml:space="preserve"> </w:t>
      </w:r>
      <w:r w:rsidRPr="00A07330">
        <w:rPr>
          <w:szCs w:val="24"/>
          <w:lang w:val="fr-FR"/>
        </w:rPr>
        <w:t xml:space="preserve">novembre 2000 ; </w:t>
      </w:r>
      <w:r w:rsidRPr="00A07330">
        <w:rPr>
          <w:i/>
          <w:lang w:val="fr-FR"/>
        </w:rPr>
        <w:t>Hermi</w:t>
      </w:r>
      <w:r w:rsidRPr="00A07330">
        <w:rPr>
          <w:lang w:val="fr-FR"/>
        </w:rPr>
        <w:t xml:space="preserve">, précité, § 78 ; et </w:t>
      </w:r>
      <w:r w:rsidRPr="00A07330">
        <w:rPr>
          <w:i/>
          <w:lang w:val="fr-FR"/>
        </w:rPr>
        <w:t>Hany c.</w:t>
      </w:r>
      <w:r w:rsidR="0009064A">
        <w:rPr>
          <w:i/>
          <w:lang w:val="fr-FR"/>
        </w:rPr>
        <w:t xml:space="preserve"> </w:t>
      </w:r>
      <w:r w:rsidRPr="00A07330">
        <w:rPr>
          <w:i/>
          <w:lang w:val="fr-FR"/>
        </w:rPr>
        <w:t xml:space="preserve">Italie </w:t>
      </w:r>
      <w:r w:rsidRPr="00A07330">
        <w:rPr>
          <w:lang w:val="fr-FR"/>
        </w:rPr>
        <w:t>(déc.), n</w:t>
      </w:r>
      <w:r w:rsidRPr="00A07330">
        <w:rPr>
          <w:vertAlign w:val="superscript"/>
          <w:lang w:val="fr-FR"/>
        </w:rPr>
        <w:t>o</w:t>
      </w:r>
      <w:r w:rsidRPr="00A07330">
        <w:rPr>
          <w:lang w:val="fr-FR"/>
        </w:rPr>
        <w:t xml:space="preserve"> 17543/05, 6 novembre 2007).</w:t>
      </w:r>
      <w:r w:rsidR="0009064A">
        <w:rPr>
          <w:lang w:val="fr-FR"/>
        </w:rPr>
        <w:t xml:space="preserve"> </w:t>
      </w:r>
      <w:r w:rsidRPr="00A07330">
        <w:rPr>
          <w:szCs w:val="24"/>
          <w:lang w:val="fr-FR"/>
        </w:rPr>
        <w:t xml:space="preserve">En effet, </w:t>
      </w:r>
      <w:r w:rsidRPr="00A07330">
        <w:rPr>
          <w:lang w:val="fr-FR"/>
        </w:rPr>
        <w:t>dans le cadre de la procédure abrégée, les parties doivent se baser sur les pièces figurant dans le dossier du parquet, même si, à titre exceptionnel, des preuves orales peuvent être admises (</w:t>
      </w:r>
      <w:r w:rsidRPr="00A07330">
        <w:rPr>
          <w:i/>
          <w:lang w:val="fr-FR"/>
        </w:rPr>
        <w:t>Scoppola (n</w:t>
      </w:r>
      <w:r w:rsidRPr="00A07330">
        <w:rPr>
          <w:i/>
          <w:vertAlign w:val="superscript"/>
          <w:lang w:val="fr-FR"/>
        </w:rPr>
        <w:t>o</w:t>
      </w:r>
      <w:r w:rsidRPr="00A07330">
        <w:rPr>
          <w:i/>
          <w:lang w:val="fr-FR"/>
        </w:rPr>
        <w:t xml:space="preserve"> 2)</w:t>
      </w:r>
      <w:r w:rsidRPr="00A07330">
        <w:rPr>
          <w:lang w:val="fr-FR"/>
        </w:rPr>
        <w:t>, précité, §§</w:t>
      </w:r>
      <w:r w:rsidR="0009064A">
        <w:rPr>
          <w:lang w:val="fr-FR"/>
        </w:rPr>
        <w:t xml:space="preserve"> </w:t>
      </w:r>
      <w:r w:rsidRPr="00A07330">
        <w:rPr>
          <w:lang w:val="fr-FR"/>
        </w:rPr>
        <w:t xml:space="preserve">27 et 134, et </w:t>
      </w:r>
      <w:r w:rsidRPr="00A07330">
        <w:rPr>
          <w:i/>
          <w:lang w:val="fr-FR"/>
        </w:rPr>
        <w:t xml:space="preserve">Campisi c. Italie </w:t>
      </w:r>
      <w:r w:rsidRPr="00A07330">
        <w:rPr>
          <w:lang w:val="fr-FR"/>
        </w:rPr>
        <w:t>(déc.), n</w:t>
      </w:r>
      <w:r w:rsidR="00421F1F" w:rsidRPr="00421F1F">
        <w:rPr>
          <w:vertAlign w:val="superscript"/>
          <w:lang w:val="fr-FR"/>
        </w:rPr>
        <w:t>o</w:t>
      </w:r>
      <w:r w:rsidRPr="00A07330">
        <w:rPr>
          <w:lang w:val="fr-FR"/>
        </w:rPr>
        <w:t xml:space="preserve"> 10948/05, § 24, 12 février 2013).</w:t>
      </w:r>
    </w:p>
    <w:p w:rsidR="00F606DC" w:rsidRDefault="00F606DC" w:rsidP="005450A6">
      <w:pPr>
        <w:pStyle w:val="ECHRPara"/>
        <w:rPr>
          <w:lang w:val="fr-FR"/>
        </w:rPr>
      </w:pPr>
      <w:r>
        <w:rPr>
          <w:lang w:val="fr-FR"/>
        </w:rPr>
        <w:t>29.  </w:t>
      </w:r>
      <w:r w:rsidRPr="00A07330">
        <w:rPr>
          <w:lang w:val="fr-FR"/>
        </w:rPr>
        <w:t>La Cour relève ensuite que le requérant a demandé l</w:t>
      </w:r>
      <w:r w:rsidR="00BF495C">
        <w:rPr>
          <w:lang w:val="fr-FR"/>
        </w:rPr>
        <w:t>’</w:t>
      </w:r>
      <w:r w:rsidRPr="00A07330">
        <w:rPr>
          <w:lang w:val="fr-FR"/>
        </w:rPr>
        <w:t>adoption de la procédure abrégée</w:t>
      </w:r>
      <w:r>
        <w:rPr>
          <w:lang w:val="fr-FR"/>
        </w:rPr>
        <w:t xml:space="preserve"> et rappelle que</w:t>
      </w:r>
      <w:r w:rsidRPr="00A07330">
        <w:rPr>
          <w:lang w:val="fr-FR"/>
        </w:rPr>
        <w:t xml:space="preserve"> </w:t>
      </w:r>
      <w:r>
        <w:rPr>
          <w:lang w:val="fr-FR"/>
        </w:rPr>
        <w:t>n</w:t>
      </w:r>
      <w:r w:rsidRPr="00A07330">
        <w:rPr>
          <w:lang w:val="fr-FR"/>
        </w:rPr>
        <w:t>i la lettre ni l</w:t>
      </w:r>
      <w:r w:rsidR="00BF495C">
        <w:rPr>
          <w:lang w:val="fr-FR"/>
        </w:rPr>
        <w:t>’</w:t>
      </w:r>
      <w:r w:rsidRPr="00A07330">
        <w:rPr>
          <w:lang w:val="fr-FR"/>
        </w:rPr>
        <w:t xml:space="preserve">esprit de </w:t>
      </w:r>
      <w:r>
        <w:rPr>
          <w:lang w:val="fr-FR"/>
        </w:rPr>
        <w:t>l</w:t>
      </w:r>
      <w:r w:rsidR="00BF495C">
        <w:rPr>
          <w:lang w:val="fr-FR"/>
        </w:rPr>
        <w:t>’</w:t>
      </w:r>
      <w:r>
        <w:rPr>
          <w:lang w:val="fr-FR"/>
        </w:rPr>
        <w:t>article 6 de la Convention</w:t>
      </w:r>
      <w:r w:rsidRPr="00A07330">
        <w:rPr>
          <w:lang w:val="fr-FR"/>
        </w:rPr>
        <w:t xml:space="preserve"> n</w:t>
      </w:r>
      <w:r w:rsidR="00BF495C">
        <w:rPr>
          <w:lang w:val="fr-FR"/>
        </w:rPr>
        <w:t>’</w:t>
      </w:r>
      <w:r w:rsidRPr="00A07330">
        <w:rPr>
          <w:lang w:val="fr-FR"/>
        </w:rPr>
        <w:t>empêchent une personne d</w:t>
      </w:r>
      <w:r>
        <w:rPr>
          <w:lang w:val="fr-FR"/>
        </w:rPr>
        <w:t>e</w:t>
      </w:r>
      <w:r w:rsidRPr="00A07330">
        <w:rPr>
          <w:lang w:val="fr-FR"/>
        </w:rPr>
        <w:t xml:space="preserve"> renoncer de son plein gré de manière expresse ou tacite</w:t>
      </w:r>
      <w:r>
        <w:rPr>
          <w:lang w:val="fr-FR"/>
        </w:rPr>
        <w:t xml:space="preserve"> aux garanties d</w:t>
      </w:r>
      <w:r w:rsidR="00BF495C">
        <w:rPr>
          <w:lang w:val="fr-FR"/>
        </w:rPr>
        <w:t>’</w:t>
      </w:r>
      <w:r>
        <w:rPr>
          <w:lang w:val="fr-FR"/>
        </w:rPr>
        <w:t>un procès équitable</w:t>
      </w:r>
      <w:r w:rsidRPr="00A07330">
        <w:rPr>
          <w:lang w:val="fr-FR"/>
        </w:rPr>
        <w:t xml:space="preserve">, mais pareille renonciation doit être non équivoque et ne se heurter à aucun intérêt public important </w:t>
      </w:r>
      <w:r>
        <w:rPr>
          <w:lang w:val="fr-FR"/>
        </w:rPr>
        <w:t>(</w:t>
      </w:r>
      <w:r w:rsidRPr="001F7311">
        <w:rPr>
          <w:i/>
          <w:lang w:val="fr-FR"/>
        </w:rPr>
        <w:t>Håkansson et Sturesson c. Suède</w:t>
      </w:r>
      <w:r>
        <w:rPr>
          <w:lang w:val="fr-FR"/>
        </w:rPr>
        <w:t>,</w:t>
      </w:r>
      <w:r w:rsidRPr="00A07330">
        <w:rPr>
          <w:lang w:val="fr-FR"/>
        </w:rPr>
        <w:t xml:space="preserve"> 21 février 1990,</w:t>
      </w:r>
      <w:r>
        <w:rPr>
          <w:lang w:val="fr-FR"/>
        </w:rPr>
        <w:t xml:space="preserve"> § 66,</w:t>
      </w:r>
      <w:r w:rsidRPr="00A07330">
        <w:rPr>
          <w:lang w:val="fr-FR"/>
        </w:rPr>
        <w:t xml:space="preserve"> série A n</w:t>
      </w:r>
      <w:r w:rsidR="00421F1F" w:rsidRPr="00421F1F">
        <w:rPr>
          <w:vertAlign w:val="superscript"/>
          <w:lang w:val="fr-FR"/>
        </w:rPr>
        <w:t>o</w:t>
      </w:r>
      <w:r w:rsidRPr="00A07330">
        <w:rPr>
          <w:lang w:val="fr-FR"/>
        </w:rPr>
        <w:t xml:space="preserve"> 171-A</w:t>
      </w:r>
      <w:r>
        <w:rPr>
          <w:lang w:val="fr-FR"/>
        </w:rPr>
        <w:t xml:space="preserve"> ; </w:t>
      </w:r>
      <w:r w:rsidRPr="00A07330">
        <w:rPr>
          <w:i/>
          <w:iCs/>
          <w:szCs w:val="24"/>
          <w:lang w:val="fr-FR"/>
        </w:rPr>
        <w:t>Kwiatkowska</w:t>
      </w:r>
      <w:r>
        <w:rPr>
          <w:iCs/>
          <w:szCs w:val="24"/>
          <w:lang w:val="fr-FR"/>
        </w:rPr>
        <w:t xml:space="preserve">, décision précitée ; et </w:t>
      </w:r>
      <w:r>
        <w:rPr>
          <w:i/>
          <w:lang w:val="fr-FR"/>
        </w:rPr>
        <w:t>Hermi</w:t>
      </w:r>
      <w:r>
        <w:rPr>
          <w:lang w:val="fr-FR"/>
        </w:rPr>
        <w:t>, précité, § 73</w:t>
      </w:r>
      <w:r w:rsidRPr="00A07330">
        <w:rPr>
          <w:lang w:val="fr-FR"/>
        </w:rPr>
        <w:t>).</w:t>
      </w:r>
    </w:p>
    <w:p w:rsidR="00421F1F" w:rsidRDefault="00F606DC" w:rsidP="005450A6">
      <w:pPr>
        <w:pStyle w:val="ECHRPara"/>
        <w:rPr>
          <w:lang w:val="fr-FR"/>
        </w:rPr>
      </w:pPr>
      <w:r>
        <w:rPr>
          <w:lang w:val="fr-FR"/>
        </w:rPr>
        <w:t>30.  </w:t>
      </w:r>
      <w:r w:rsidRPr="001F7311">
        <w:rPr>
          <w:lang w:val="fr-FR"/>
        </w:rPr>
        <w:t>En l</w:t>
      </w:r>
      <w:r w:rsidR="00BF495C">
        <w:rPr>
          <w:lang w:val="fr-FR"/>
        </w:rPr>
        <w:t>’</w:t>
      </w:r>
      <w:r w:rsidRPr="001F7311">
        <w:rPr>
          <w:lang w:val="fr-FR"/>
        </w:rPr>
        <w:t>espèce, l</w:t>
      </w:r>
      <w:r>
        <w:rPr>
          <w:lang w:val="fr-FR"/>
        </w:rPr>
        <w:t>e</w:t>
      </w:r>
      <w:r w:rsidRPr="001F7311">
        <w:rPr>
          <w:lang w:val="fr-FR"/>
        </w:rPr>
        <w:t xml:space="preserve"> requérant, qui était assisté d</w:t>
      </w:r>
      <w:r w:rsidR="00BF495C">
        <w:rPr>
          <w:lang w:val="fr-FR"/>
        </w:rPr>
        <w:t>’</w:t>
      </w:r>
      <w:r w:rsidRPr="001F7311">
        <w:rPr>
          <w:lang w:val="fr-FR"/>
        </w:rPr>
        <w:t>un avocat, était sans doute en mesure de connaître les conséquences découlant de sa demande d</w:t>
      </w:r>
      <w:r w:rsidR="00BF495C">
        <w:rPr>
          <w:lang w:val="fr-FR"/>
        </w:rPr>
        <w:t>’</w:t>
      </w:r>
      <w:r w:rsidRPr="001F7311">
        <w:rPr>
          <w:lang w:val="fr-FR"/>
        </w:rPr>
        <w:t xml:space="preserve">adoption de la procédure abrégée. </w:t>
      </w:r>
      <w:r>
        <w:rPr>
          <w:rFonts w:cstheme="minorHAnsi"/>
          <w:lang w:val="fr-FR"/>
        </w:rPr>
        <w:t>À</w:t>
      </w:r>
      <w:r>
        <w:rPr>
          <w:lang w:val="fr-FR"/>
        </w:rPr>
        <w:t xml:space="preserve"> cet égard, elle relève que l</w:t>
      </w:r>
      <w:r w:rsidR="00BF495C">
        <w:rPr>
          <w:lang w:val="fr-FR"/>
        </w:rPr>
        <w:t>’</w:t>
      </w:r>
      <w:r>
        <w:rPr>
          <w:lang w:val="fr-FR"/>
        </w:rPr>
        <w:t xml:space="preserve">article </w:t>
      </w:r>
      <w:r w:rsidRPr="00FD0060">
        <w:rPr>
          <w:lang w:val="fr-FR"/>
        </w:rPr>
        <w:t>438 §</w:t>
      </w:r>
      <w:r w:rsidR="0009064A">
        <w:rPr>
          <w:lang w:val="fr-FR"/>
        </w:rPr>
        <w:t> </w:t>
      </w:r>
      <w:r w:rsidRPr="00FD0060">
        <w:rPr>
          <w:lang w:val="fr-FR"/>
        </w:rPr>
        <w:t>5 du CPP permet à l</w:t>
      </w:r>
      <w:r w:rsidR="00BF495C">
        <w:rPr>
          <w:lang w:val="fr-FR"/>
        </w:rPr>
        <w:t>’</w:t>
      </w:r>
      <w:r w:rsidRPr="00FD0060">
        <w:rPr>
          <w:lang w:val="fr-FR"/>
        </w:rPr>
        <w:t xml:space="preserve">accusé de </w:t>
      </w:r>
      <w:r w:rsidRPr="00D078F6">
        <w:rPr>
          <w:lang w:val="fr-FR"/>
        </w:rPr>
        <w:t>subordonner sa demande à la production de nouvelles preuves nécessaires à la décision</w:t>
      </w:r>
      <w:r w:rsidRPr="001F7311">
        <w:rPr>
          <w:lang w:val="fr-FR"/>
        </w:rPr>
        <w:t xml:space="preserve"> </w:t>
      </w:r>
      <w:r>
        <w:rPr>
          <w:lang w:val="fr-FR"/>
        </w:rPr>
        <w:t>(paragraphe 19 ci-dessus)</w:t>
      </w:r>
      <w:r w:rsidRPr="001F7311">
        <w:rPr>
          <w:lang w:val="fr-FR"/>
        </w:rPr>
        <w:t>.</w:t>
      </w:r>
      <w:r>
        <w:rPr>
          <w:lang w:val="fr-FR"/>
        </w:rPr>
        <w:t xml:space="preserve"> </w:t>
      </w:r>
      <w:r w:rsidRPr="004478DC">
        <w:rPr>
          <w:lang w:val="fr-FR"/>
        </w:rPr>
        <w:t>Cependant, tel n</w:t>
      </w:r>
      <w:r w:rsidR="00BF495C">
        <w:rPr>
          <w:lang w:val="fr-FR"/>
        </w:rPr>
        <w:t>’</w:t>
      </w:r>
      <w:r w:rsidRPr="004478DC">
        <w:rPr>
          <w:lang w:val="fr-FR"/>
        </w:rPr>
        <w:t>a pas été le cas en l</w:t>
      </w:r>
      <w:r w:rsidR="00BF495C">
        <w:rPr>
          <w:lang w:val="fr-FR"/>
        </w:rPr>
        <w:t>’</w:t>
      </w:r>
      <w:r w:rsidRPr="004478DC">
        <w:rPr>
          <w:lang w:val="fr-FR"/>
        </w:rPr>
        <w:t>espèce, le requérant ayant accepté d</w:t>
      </w:r>
      <w:r w:rsidR="00BF495C">
        <w:rPr>
          <w:lang w:val="fr-FR"/>
        </w:rPr>
        <w:t>’</w:t>
      </w:r>
      <w:r w:rsidRPr="004478DC">
        <w:rPr>
          <w:lang w:val="fr-FR"/>
        </w:rPr>
        <w:t>être jugé exclusivement sur la base des éléments recueillis par les autorités pendant les investigations préliminaires. Dès lors, il savait ou aurait dû savoir grâce à s</w:t>
      </w:r>
      <w:r>
        <w:rPr>
          <w:lang w:val="fr-FR"/>
        </w:rPr>
        <w:t>on</w:t>
      </w:r>
      <w:r w:rsidRPr="004478DC">
        <w:rPr>
          <w:lang w:val="fr-FR"/>
        </w:rPr>
        <w:t xml:space="preserve"> avocat</w:t>
      </w:r>
      <w:r w:rsidRPr="004478DC">
        <w:rPr>
          <w:b/>
          <w:lang w:val="fr-FR"/>
        </w:rPr>
        <w:t xml:space="preserve"> </w:t>
      </w:r>
      <w:r w:rsidRPr="004478DC">
        <w:rPr>
          <w:lang w:val="fr-FR"/>
        </w:rPr>
        <w:t>que l</w:t>
      </w:r>
      <w:r w:rsidR="00BF495C">
        <w:rPr>
          <w:lang w:val="fr-FR"/>
        </w:rPr>
        <w:t>’</w:t>
      </w:r>
      <w:r w:rsidRPr="004478DC">
        <w:rPr>
          <w:lang w:val="fr-FR"/>
        </w:rPr>
        <w:t xml:space="preserve">audience </w:t>
      </w:r>
      <w:r>
        <w:rPr>
          <w:lang w:val="fr-FR"/>
        </w:rPr>
        <w:t>se</w:t>
      </w:r>
      <w:r w:rsidRPr="004478DC">
        <w:rPr>
          <w:lang w:val="fr-FR"/>
        </w:rPr>
        <w:t xml:space="preserve"> </w:t>
      </w:r>
      <w:r>
        <w:rPr>
          <w:lang w:val="fr-FR"/>
        </w:rPr>
        <w:t>limiterait</w:t>
      </w:r>
      <w:r w:rsidRPr="004478DC">
        <w:rPr>
          <w:lang w:val="fr-FR"/>
        </w:rPr>
        <w:t xml:space="preserve"> en principe aux plaidoiries des parties, sans production de preuves ou interrogation de témoin</w:t>
      </w:r>
      <w:r>
        <w:rPr>
          <w:lang w:val="fr-FR"/>
        </w:rPr>
        <w:t xml:space="preserve"> (voir, </w:t>
      </w:r>
      <w:r>
        <w:rPr>
          <w:i/>
          <w:lang w:val="fr-FR"/>
        </w:rPr>
        <w:t>mutatis mutandis</w:t>
      </w:r>
      <w:r>
        <w:rPr>
          <w:lang w:val="fr-FR"/>
        </w:rPr>
        <w:t xml:space="preserve">, </w:t>
      </w:r>
      <w:r>
        <w:rPr>
          <w:i/>
          <w:lang w:val="fr-FR"/>
        </w:rPr>
        <w:t>Hermi</w:t>
      </w:r>
      <w:r>
        <w:rPr>
          <w:lang w:val="fr-FR"/>
        </w:rPr>
        <w:t>, précité, § 87). Dans ces circonstances, l</w:t>
      </w:r>
      <w:r w:rsidRPr="001F7311">
        <w:rPr>
          <w:lang w:val="fr-FR"/>
        </w:rPr>
        <w:t>a Cour considère qu</w:t>
      </w:r>
      <w:r>
        <w:rPr>
          <w:lang w:val="fr-FR"/>
        </w:rPr>
        <w:t>e l</w:t>
      </w:r>
      <w:r w:rsidR="00BF495C">
        <w:rPr>
          <w:lang w:val="fr-FR"/>
        </w:rPr>
        <w:t>’</w:t>
      </w:r>
      <w:r>
        <w:rPr>
          <w:lang w:val="fr-FR"/>
        </w:rPr>
        <w:t>intéressé</w:t>
      </w:r>
      <w:r w:rsidRPr="001F7311">
        <w:rPr>
          <w:lang w:val="fr-FR"/>
        </w:rPr>
        <w:t xml:space="preserve"> a renoncé sans équivoque à son droit à obtenir la convocation des témoins en justice. Il n</w:t>
      </w:r>
      <w:r w:rsidR="00BF495C">
        <w:rPr>
          <w:lang w:val="fr-FR"/>
        </w:rPr>
        <w:t>’</w:t>
      </w:r>
      <w:r w:rsidRPr="001F7311">
        <w:rPr>
          <w:lang w:val="fr-FR"/>
        </w:rPr>
        <w:t>apparaît pas davantage que le différend soulevât des questions d</w:t>
      </w:r>
      <w:r w:rsidR="00BF495C">
        <w:rPr>
          <w:lang w:val="fr-FR"/>
        </w:rPr>
        <w:t>’</w:t>
      </w:r>
      <w:r w:rsidRPr="001F7311">
        <w:rPr>
          <w:lang w:val="fr-FR"/>
        </w:rPr>
        <w:t>intérêt public s</w:t>
      </w:r>
      <w:r w:rsidR="00BF495C">
        <w:rPr>
          <w:lang w:val="fr-FR"/>
        </w:rPr>
        <w:t>’</w:t>
      </w:r>
      <w:r w:rsidRPr="001F7311">
        <w:rPr>
          <w:lang w:val="fr-FR"/>
        </w:rPr>
        <w:t>opposant à une telle ren</w:t>
      </w:r>
      <w:r>
        <w:rPr>
          <w:lang w:val="fr-FR"/>
        </w:rPr>
        <w:t>o</w:t>
      </w:r>
      <w:r w:rsidRPr="001F7311">
        <w:rPr>
          <w:lang w:val="fr-FR"/>
        </w:rPr>
        <w:t xml:space="preserve">nciation </w:t>
      </w:r>
      <w:r>
        <w:rPr>
          <w:lang w:val="fr-FR"/>
        </w:rPr>
        <w:t xml:space="preserve">(voir, </w:t>
      </w:r>
      <w:r>
        <w:rPr>
          <w:i/>
          <w:lang w:val="fr-FR"/>
        </w:rPr>
        <w:t>mutatis mutandis</w:t>
      </w:r>
      <w:r>
        <w:rPr>
          <w:lang w:val="fr-FR"/>
        </w:rPr>
        <w:t>,</w:t>
      </w:r>
      <w:r>
        <w:rPr>
          <w:i/>
          <w:lang w:val="fr-FR"/>
        </w:rPr>
        <w:t xml:space="preserve"> </w:t>
      </w:r>
      <w:r w:rsidRPr="00A07330">
        <w:rPr>
          <w:i/>
          <w:iCs/>
          <w:szCs w:val="24"/>
          <w:lang w:val="fr-FR"/>
        </w:rPr>
        <w:t>Kwiatkowska</w:t>
      </w:r>
      <w:r>
        <w:rPr>
          <w:iCs/>
          <w:szCs w:val="24"/>
          <w:lang w:val="fr-FR"/>
        </w:rPr>
        <w:t>, décision précitée)</w:t>
      </w:r>
      <w:r>
        <w:rPr>
          <w:lang w:val="fr-FR"/>
        </w:rPr>
        <w:t>.</w:t>
      </w:r>
    </w:p>
    <w:p w:rsidR="00421F1F" w:rsidRDefault="00F606DC" w:rsidP="005450A6">
      <w:pPr>
        <w:pStyle w:val="ECHRPara"/>
        <w:rPr>
          <w:lang w:val="fr-FR"/>
        </w:rPr>
      </w:pPr>
      <w:r>
        <w:rPr>
          <w:lang w:val="fr-FR"/>
        </w:rPr>
        <w:t>31</w:t>
      </w:r>
      <w:r w:rsidRPr="001F7311">
        <w:rPr>
          <w:lang w:val="fr-FR"/>
        </w:rPr>
        <w:t>.  </w:t>
      </w:r>
      <w:r>
        <w:rPr>
          <w:lang w:val="fr-FR"/>
        </w:rPr>
        <w:t>Au demeurant, la Cour relève que dans le cadre de son deuxième pourvoi en cassation, le requérant n</w:t>
      </w:r>
      <w:r w:rsidR="00BF495C">
        <w:rPr>
          <w:lang w:val="fr-FR"/>
        </w:rPr>
        <w:t>’</w:t>
      </w:r>
      <w:r>
        <w:rPr>
          <w:lang w:val="fr-FR"/>
        </w:rPr>
        <w:t>a pas contesté le rejet de sa demande visant à obtenir une nouvelle audition de Y (paragraphe 16 ci-dessus), et n</w:t>
      </w:r>
      <w:r w:rsidR="00BF495C">
        <w:rPr>
          <w:lang w:val="fr-FR"/>
        </w:rPr>
        <w:t>’</w:t>
      </w:r>
      <w:r>
        <w:rPr>
          <w:lang w:val="fr-FR"/>
        </w:rPr>
        <w:t xml:space="preserve">a </w:t>
      </w:r>
      <w:r>
        <w:rPr>
          <w:lang w:val="fr-FR"/>
        </w:rPr>
        <w:lastRenderedPageBreak/>
        <w:t>donc pas épuisé, sur ce point, les voies de recours qui lui étaient ouvertes en droit italien.</w:t>
      </w:r>
    </w:p>
    <w:p w:rsidR="00F606DC" w:rsidRDefault="00F606DC" w:rsidP="005450A6">
      <w:pPr>
        <w:pStyle w:val="ECHRPara"/>
        <w:rPr>
          <w:lang w:val="fr-FR"/>
        </w:rPr>
      </w:pPr>
      <w:r>
        <w:rPr>
          <w:lang w:val="fr-FR"/>
        </w:rPr>
        <w:t>32.  Enfin, dans la mesure où le requérant se plaint de l</w:t>
      </w:r>
      <w:r w:rsidR="00BF495C">
        <w:rPr>
          <w:lang w:val="fr-FR"/>
        </w:rPr>
        <w:t>’</w:t>
      </w:r>
      <w:r>
        <w:rPr>
          <w:lang w:val="fr-FR"/>
        </w:rPr>
        <w:t>appréciation des preuves faite par les juges du fond, la Cour rappelle qu</w:t>
      </w:r>
      <w:r w:rsidR="00BF495C">
        <w:rPr>
          <w:lang w:val="fr-FR"/>
        </w:rPr>
        <w:t>’</w:t>
      </w:r>
      <w:r w:rsidRPr="00652F22">
        <w:rPr>
          <w:lang w:val="fr-FR"/>
        </w:rPr>
        <w:t xml:space="preserve">il ne lui appartient pas de connaître des erreurs de fait ou de droit prétendument commises par une juridiction interne, sauf si et dans la mesure où elles pourraient avoir porté atteinte aux droits et libertés </w:t>
      </w:r>
      <w:r>
        <w:rPr>
          <w:lang w:val="fr-FR"/>
        </w:rPr>
        <w:t>garantis</w:t>
      </w:r>
      <w:r w:rsidRPr="00652F22">
        <w:rPr>
          <w:lang w:val="fr-FR"/>
        </w:rPr>
        <w:t xml:space="preserve"> par la Convention (</w:t>
      </w:r>
      <w:r w:rsidR="005450A6">
        <w:rPr>
          <w:i/>
          <w:lang w:val="fr-FR"/>
        </w:rPr>
        <w:t>Khan </w:t>
      </w:r>
      <w:r w:rsidRPr="00652F22">
        <w:rPr>
          <w:i/>
          <w:lang w:val="fr-FR"/>
        </w:rPr>
        <w:t>c.</w:t>
      </w:r>
      <w:r>
        <w:rPr>
          <w:i/>
          <w:lang w:val="fr-FR"/>
        </w:rPr>
        <w:t> </w:t>
      </w:r>
      <w:r w:rsidRPr="00652F22">
        <w:rPr>
          <w:i/>
          <w:lang w:val="fr-FR"/>
        </w:rPr>
        <w:t>Royaume-Uni</w:t>
      </w:r>
      <w:r w:rsidRPr="00652F22">
        <w:rPr>
          <w:lang w:val="fr-FR"/>
        </w:rPr>
        <w:t>, n</w:t>
      </w:r>
      <w:r w:rsidRPr="00D77D93">
        <w:rPr>
          <w:vertAlign w:val="superscript"/>
          <w:lang w:val="fr-FR"/>
        </w:rPr>
        <w:t>o</w:t>
      </w:r>
      <w:r w:rsidR="0009064A">
        <w:rPr>
          <w:lang w:val="fr-FR"/>
        </w:rPr>
        <w:t xml:space="preserve"> </w:t>
      </w:r>
      <w:r w:rsidRPr="00652F22">
        <w:rPr>
          <w:lang w:val="fr-FR"/>
        </w:rPr>
        <w:t>35394/97, § 34, CEDH 2000-V),</w:t>
      </w:r>
      <w:r w:rsidRPr="000D5AF9">
        <w:rPr>
          <w:lang w:val="fr-FR"/>
        </w:rPr>
        <w:t xml:space="preserve"> et </w:t>
      </w:r>
      <w:r>
        <w:rPr>
          <w:lang w:val="fr-FR"/>
        </w:rPr>
        <w:t>qu</w:t>
      </w:r>
      <w:r w:rsidR="00BF495C">
        <w:rPr>
          <w:lang w:val="fr-FR"/>
        </w:rPr>
        <w:t>’</w:t>
      </w:r>
      <w:r w:rsidRPr="000D5AF9">
        <w:rPr>
          <w:lang w:val="fr-FR"/>
        </w:rPr>
        <w:t>il revient en principe aux juridictions nationales d</w:t>
      </w:r>
      <w:r w:rsidR="00BF495C">
        <w:rPr>
          <w:lang w:val="fr-FR"/>
        </w:rPr>
        <w:t>’</w:t>
      </w:r>
      <w:r w:rsidRPr="000D5AF9">
        <w:rPr>
          <w:lang w:val="fr-FR"/>
        </w:rPr>
        <w:t>apprécier les faits et d</w:t>
      </w:r>
      <w:r w:rsidR="00BF495C">
        <w:rPr>
          <w:lang w:val="fr-FR"/>
        </w:rPr>
        <w:t>’</w:t>
      </w:r>
      <w:r w:rsidRPr="000D5AF9">
        <w:rPr>
          <w:lang w:val="fr-FR"/>
        </w:rPr>
        <w:t>interpréter et appliquer le droit interne (</w:t>
      </w:r>
      <w:r w:rsidRPr="00CB7C13">
        <w:rPr>
          <w:i/>
          <w:lang w:val="fr-FR"/>
        </w:rPr>
        <w:t>Pacifico c.</w:t>
      </w:r>
      <w:r w:rsidR="0009064A">
        <w:rPr>
          <w:i/>
          <w:lang w:val="fr-FR"/>
        </w:rPr>
        <w:t xml:space="preserve"> </w:t>
      </w:r>
      <w:r w:rsidRPr="00CB7C13">
        <w:rPr>
          <w:i/>
          <w:lang w:val="fr-FR"/>
        </w:rPr>
        <w:t>Italie</w:t>
      </w:r>
      <w:r>
        <w:rPr>
          <w:lang w:val="fr-FR"/>
        </w:rPr>
        <w:t xml:space="preserve"> (</w:t>
      </w:r>
      <w:r w:rsidRPr="000D5AF9">
        <w:rPr>
          <w:lang w:val="fr-FR"/>
        </w:rPr>
        <w:t>déc</w:t>
      </w:r>
      <w:r>
        <w:rPr>
          <w:lang w:val="fr-FR"/>
        </w:rPr>
        <w:t>.)</w:t>
      </w:r>
      <w:r w:rsidRPr="000D5AF9">
        <w:rPr>
          <w:lang w:val="fr-FR"/>
        </w:rPr>
        <w:t>,</w:t>
      </w:r>
      <w:r>
        <w:rPr>
          <w:lang w:val="fr-FR"/>
        </w:rPr>
        <w:t xml:space="preserve"> </w:t>
      </w:r>
      <w:r w:rsidRPr="00CB7C13">
        <w:rPr>
          <w:lang w:val="fr-FR"/>
        </w:rPr>
        <w:t>n</w:t>
      </w:r>
      <w:r w:rsidRPr="00D77D93">
        <w:rPr>
          <w:vertAlign w:val="superscript"/>
          <w:lang w:val="fr-FR"/>
        </w:rPr>
        <w:t>o</w:t>
      </w:r>
      <w:r w:rsidR="0009064A">
        <w:rPr>
          <w:lang w:val="fr-FR"/>
        </w:rPr>
        <w:t xml:space="preserve"> </w:t>
      </w:r>
      <w:r>
        <w:rPr>
          <w:lang w:val="fr-FR"/>
        </w:rPr>
        <w:t>17995/08</w:t>
      </w:r>
      <w:r w:rsidRPr="00CB7C13">
        <w:rPr>
          <w:lang w:val="fr-FR"/>
        </w:rPr>
        <w:t>, §</w:t>
      </w:r>
      <w:r>
        <w:rPr>
          <w:lang w:val="fr-FR"/>
        </w:rPr>
        <w:t> </w:t>
      </w:r>
      <w:r w:rsidRPr="00CB7C13">
        <w:rPr>
          <w:lang w:val="fr-FR"/>
        </w:rPr>
        <w:t>6</w:t>
      </w:r>
      <w:r>
        <w:rPr>
          <w:lang w:val="fr-FR"/>
        </w:rPr>
        <w:t>2</w:t>
      </w:r>
      <w:r w:rsidRPr="00CB7C13">
        <w:rPr>
          <w:lang w:val="fr-FR"/>
        </w:rPr>
        <w:t>, 20</w:t>
      </w:r>
      <w:r>
        <w:rPr>
          <w:lang w:val="fr-FR"/>
        </w:rPr>
        <w:t> </w:t>
      </w:r>
      <w:r w:rsidRPr="00CB7C13">
        <w:rPr>
          <w:lang w:val="fr-FR"/>
        </w:rPr>
        <w:t>novembre 2012</w:t>
      </w:r>
      <w:r>
        <w:rPr>
          <w:lang w:val="fr-FR"/>
        </w:rPr>
        <w:t xml:space="preserve"> ; </w:t>
      </w:r>
      <w:r>
        <w:rPr>
          <w:i/>
          <w:lang w:val="fr-FR"/>
        </w:rPr>
        <w:t xml:space="preserve">Plesic c. Italie </w:t>
      </w:r>
      <w:r>
        <w:rPr>
          <w:lang w:val="fr-FR"/>
        </w:rPr>
        <w:t>(déc.), n</w:t>
      </w:r>
      <w:r w:rsidRPr="00D77D93">
        <w:rPr>
          <w:vertAlign w:val="superscript"/>
          <w:lang w:val="fr-FR"/>
        </w:rPr>
        <w:t>o</w:t>
      </w:r>
      <w:r w:rsidR="0009064A">
        <w:rPr>
          <w:lang w:val="fr-FR"/>
        </w:rPr>
        <w:t xml:space="preserve"> </w:t>
      </w:r>
      <w:r>
        <w:rPr>
          <w:lang w:val="fr-FR"/>
        </w:rPr>
        <w:t xml:space="preserve">16065/09, § 33, </w:t>
      </w:r>
      <w:r w:rsidRPr="00CB7C13">
        <w:rPr>
          <w:lang w:val="fr-FR"/>
        </w:rPr>
        <w:t>2 juillet 2013</w:t>
      </w:r>
      <w:r>
        <w:rPr>
          <w:lang w:val="fr-FR"/>
        </w:rPr>
        <w:t xml:space="preserve"> ; et </w:t>
      </w:r>
      <w:r>
        <w:rPr>
          <w:i/>
          <w:lang w:val="fr-FR"/>
        </w:rPr>
        <w:t xml:space="preserve">Sampech c. Italie </w:t>
      </w:r>
      <w:r>
        <w:rPr>
          <w:lang w:val="fr-FR"/>
        </w:rPr>
        <w:t>(déc.), n</w:t>
      </w:r>
      <w:r w:rsidR="00421F1F" w:rsidRPr="00421F1F">
        <w:rPr>
          <w:vertAlign w:val="superscript"/>
          <w:lang w:val="fr-FR"/>
        </w:rPr>
        <w:t>o</w:t>
      </w:r>
      <w:r>
        <w:rPr>
          <w:lang w:val="fr-FR"/>
        </w:rPr>
        <w:t xml:space="preserve"> 55546/09, § 98, 19 mai 2015</w:t>
      </w:r>
      <w:r w:rsidRPr="00CB0B4B">
        <w:rPr>
          <w:lang w:val="fr-FR"/>
        </w:rPr>
        <w:t>)</w:t>
      </w:r>
      <w:r>
        <w:rPr>
          <w:lang w:val="fr-FR"/>
        </w:rPr>
        <w:t>.</w:t>
      </w:r>
    </w:p>
    <w:p w:rsidR="00F606DC" w:rsidRDefault="00F606DC" w:rsidP="005450A6">
      <w:pPr>
        <w:pStyle w:val="ECHRPara"/>
        <w:rPr>
          <w:lang w:val="fr-FR"/>
        </w:rPr>
      </w:pPr>
      <w:r>
        <w:rPr>
          <w:lang w:val="fr-FR"/>
        </w:rPr>
        <w:t>33</w:t>
      </w:r>
      <w:r w:rsidRPr="002655D8">
        <w:rPr>
          <w:lang w:val="fr-FR"/>
        </w:rPr>
        <w:t>.  </w:t>
      </w:r>
      <w:r w:rsidRPr="002655D8">
        <w:rPr>
          <w:rFonts w:cstheme="minorHAnsi"/>
          <w:lang w:val="fr-FR"/>
        </w:rPr>
        <w:t>À</w:t>
      </w:r>
      <w:r w:rsidRPr="002655D8">
        <w:rPr>
          <w:lang w:val="fr-FR"/>
        </w:rPr>
        <w:t xml:space="preserve"> la lumière de ce qui précède, la Cour ne saurait déceler aucune apparence de violation des principes du procès équitable et/ou des</w:t>
      </w:r>
      <w:r>
        <w:rPr>
          <w:highlight w:val="yellow"/>
          <w:lang w:val="fr-FR"/>
        </w:rPr>
        <w:t xml:space="preserve"> </w:t>
      </w:r>
      <w:r>
        <w:rPr>
          <w:lang w:val="fr-FR"/>
        </w:rPr>
        <w:t>dispositions des paragraphes 1 et 3 d) de l</w:t>
      </w:r>
      <w:r w:rsidR="00BF495C">
        <w:rPr>
          <w:lang w:val="fr-FR"/>
        </w:rPr>
        <w:t>’</w:t>
      </w:r>
      <w:r>
        <w:rPr>
          <w:lang w:val="fr-FR"/>
        </w:rPr>
        <w:t>article 6 de la Convention.</w:t>
      </w:r>
    </w:p>
    <w:p w:rsidR="00F606DC" w:rsidRPr="00183752" w:rsidRDefault="00F606DC" w:rsidP="005450A6">
      <w:pPr>
        <w:pStyle w:val="ECHRPara"/>
        <w:rPr>
          <w:highlight w:val="yellow"/>
          <w:lang w:val="fr-FR"/>
        </w:rPr>
      </w:pPr>
      <w:r>
        <w:rPr>
          <w:lang w:val="fr-FR"/>
        </w:rPr>
        <w:t>34.  </w:t>
      </w:r>
      <w:r w:rsidRPr="002655D8">
        <w:rPr>
          <w:snapToGrid w:val="0"/>
          <w:lang w:val="fr-FR"/>
        </w:rPr>
        <w:t>Il s</w:t>
      </w:r>
      <w:r w:rsidR="00BF495C">
        <w:rPr>
          <w:snapToGrid w:val="0"/>
          <w:lang w:val="fr-FR"/>
        </w:rPr>
        <w:t>’</w:t>
      </w:r>
      <w:r w:rsidRPr="002655D8">
        <w:rPr>
          <w:snapToGrid w:val="0"/>
          <w:lang w:val="fr-FR"/>
        </w:rPr>
        <w:t>ensuit que ce grief est manifestement mal fondé et doit être rejeté en application de l</w:t>
      </w:r>
      <w:r w:rsidR="00BF495C">
        <w:rPr>
          <w:snapToGrid w:val="0"/>
          <w:lang w:val="fr-FR"/>
        </w:rPr>
        <w:t>’</w:t>
      </w:r>
      <w:r w:rsidRPr="002655D8">
        <w:rPr>
          <w:snapToGrid w:val="0"/>
          <w:lang w:val="fr-FR"/>
        </w:rPr>
        <w:t>article 35 §§ 3</w:t>
      </w:r>
      <w:r w:rsidR="0009064A">
        <w:rPr>
          <w:snapToGrid w:val="0"/>
          <w:lang w:val="fr-FR"/>
        </w:rPr>
        <w:t xml:space="preserve"> </w:t>
      </w:r>
      <w:r w:rsidRPr="002655D8">
        <w:rPr>
          <w:lang w:val="fr-FR"/>
        </w:rPr>
        <w:t xml:space="preserve">a) </w:t>
      </w:r>
      <w:r w:rsidRPr="002655D8">
        <w:rPr>
          <w:snapToGrid w:val="0"/>
          <w:lang w:val="fr-FR"/>
        </w:rPr>
        <w:t>et 4 de la Convention.</w:t>
      </w:r>
    </w:p>
    <w:p w:rsidR="00F606DC" w:rsidRPr="006B54C6" w:rsidRDefault="00F606DC" w:rsidP="005450A6">
      <w:pPr>
        <w:pStyle w:val="ECHRHeading2"/>
        <w:rPr>
          <w:lang w:val="fr-FR"/>
        </w:rPr>
      </w:pPr>
      <w:r>
        <w:rPr>
          <w:lang w:val="fr-FR"/>
        </w:rPr>
        <w:t>B.  Grief tiré de l</w:t>
      </w:r>
      <w:r w:rsidR="00BF495C">
        <w:rPr>
          <w:lang w:val="fr-FR"/>
        </w:rPr>
        <w:t>’</w:t>
      </w:r>
      <w:r>
        <w:rPr>
          <w:lang w:val="fr-FR"/>
        </w:rPr>
        <w:t>article 7 de la Convention</w:t>
      </w:r>
    </w:p>
    <w:p w:rsidR="00421F1F" w:rsidRDefault="00F606DC" w:rsidP="005450A6">
      <w:pPr>
        <w:pStyle w:val="ECHRPara"/>
        <w:rPr>
          <w:lang w:val="fr-FR"/>
        </w:rPr>
      </w:pPr>
      <w:r>
        <w:rPr>
          <w:lang w:val="fr-FR"/>
        </w:rPr>
        <w:t>35.  Le requérant se plaint d</w:t>
      </w:r>
      <w:r w:rsidR="00BF495C">
        <w:rPr>
          <w:lang w:val="fr-FR"/>
        </w:rPr>
        <w:t>’</w:t>
      </w:r>
      <w:r>
        <w:rPr>
          <w:lang w:val="fr-FR"/>
        </w:rPr>
        <w:t>avoir subi une aggravation de peine par la juridiction de renvoi en violation de l</w:t>
      </w:r>
      <w:r w:rsidR="00BF495C">
        <w:rPr>
          <w:lang w:val="fr-FR"/>
        </w:rPr>
        <w:t>’</w:t>
      </w:r>
      <w:r>
        <w:rPr>
          <w:lang w:val="fr-FR"/>
        </w:rPr>
        <w:t xml:space="preserve">interdiction de </w:t>
      </w:r>
      <w:r>
        <w:rPr>
          <w:i/>
          <w:lang w:val="fr-FR"/>
        </w:rPr>
        <w:t>reformatio in pejus</w:t>
      </w:r>
      <w:r>
        <w:rPr>
          <w:lang w:val="fr-FR"/>
        </w:rPr>
        <w:t xml:space="preserve"> prévue à l</w:t>
      </w:r>
      <w:r w:rsidR="00BF495C">
        <w:rPr>
          <w:lang w:val="fr-FR"/>
        </w:rPr>
        <w:t>’</w:t>
      </w:r>
      <w:r>
        <w:rPr>
          <w:lang w:val="fr-FR"/>
        </w:rPr>
        <w:t>article 597 § 3 du CPP. En effet, bien qu</w:t>
      </w:r>
      <w:r w:rsidR="00BF495C">
        <w:rPr>
          <w:lang w:val="fr-FR"/>
        </w:rPr>
        <w:t>’</w:t>
      </w:r>
      <w:r>
        <w:rPr>
          <w:lang w:val="fr-FR"/>
        </w:rPr>
        <w:t>en appel la peine du requérant ait été réduite à cinq ans et quatre mois, la juridiction de renvoi a confirmé la condamnation de première instance, à savoir six ans d</w:t>
      </w:r>
      <w:r w:rsidR="00BF495C">
        <w:rPr>
          <w:lang w:val="fr-FR"/>
        </w:rPr>
        <w:t>’</w:t>
      </w:r>
      <w:r>
        <w:rPr>
          <w:lang w:val="fr-FR"/>
        </w:rPr>
        <w:t>emprisonnement. Le requérant rappelle que la jurisprudence de la Cour de cassation a reconnu l</w:t>
      </w:r>
      <w:r w:rsidR="00BF495C">
        <w:rPr>
          <w:lang w:val="fr-FR"/>
        </w:rPr>
        <w:t>’</w:t>
      </w:r>
      <w:r>
        <w:rPr>
          <w:lang w:val="fr-FR"/>
        </w:rPr>
        <w:t>applicabilité de l</w:t>
      </w:r>
      <w:r w:rsidR="00BF495C">
        <w:rPr>
          <w:lang w:val="fr-FR"/>
        </w:rPr>
        <w:t>’</w:t>
      </w:r>
      <w:r>
        <w:rPr>
          <w:lang w:val="fr-FR"/>
        </w:rPr>
        <w:t>article 597 précité également à la procédure de renvoi et affirme que seule une nullité absolue du procès d</w:t>
      </w:r>
      <w:r w:rsidR="00BF495C">
        <w:rPr>
          <w:lang w:val="fr-FR"/>
        </w:rPr>
        <w:t>’</w:t>
      </w:r>
      <w:r>
        <w:rPr>
          <w:lang w:val="fr-FR"/>
        </w:rPr>
        <w:t>appel pouvait justifier la confirmation de la peine infligée par le GUP. Cependant, en l</w:t>
      </w:r>
      <w:r w:rsidR="00BF495C">
        <w:rPr>
          <w:lang w:val="fr-FR"/>
        </w:rPr>
        <w:t>’</w:t>
      </w:r>
      <w:r>
        <w:rPr>
          <w:lang w:val="fr-FR"/>
        </w:rPr>
        <w:t>espèce, l</w:t>
      </w:r>
      <w:r w:rsidR="00BF495C">
        <w:rPr>
          <w:lang w:val="fr-FR"/>
        </w:rPr>
        <w:t>’</w:t>
      </w:r>
      <w:r>
        <w:rPr>
          <w:lang w:val="fr-FR"/>
        </w:rPr>
        <w:t>arrêt d</w:t>
      </w:r>
      <w:r w:rsidR="00BF495C">
        <w:rPr>
          <w:lang w:val="fr-FR"/>
        </w:rPr>
        <w:t>’</w:t>
      </w:r>
      <w:r>
        <w:rPr>
          <w:lang w:val="fr-FR"/>
        </w:rPr>
        <w:t>appel a été cassé simplement à cause de l</w:t>
      </w:r>
      <w:r w:rsidR="00BF495C">
        <w:rPr>
          <w:lang w:val="fr-FR"/>
        </w:rPr>
        <w:t>’</w:t>
      </w:r>
      <w:r>
        <w:rPr>
          <w:lang w:val="fr-FR"/>
        </w:rPr>
        <w:t>impossibilité d</w:t>
      </w:r>
      <w:r w:rsidR="00BF495C">
        <w:rPr>
          <w:lang w:val="fr-FR"/>
        </w:rPr>
        <w:t>’</w:t>
      </w:r>
      <w:r>
        <w:rPr>
          <w:lang w:val="fr-FR"/>
        </w:rPr>
        <w:t>utiliser les écoutes.</w:t>
      </w:r>
    </w:p>
    <w:p w:rsidR="00F606DC" w:rsidRDefault="00F606DC" w:rsidP="005450A6">
      <w:pPr>
        <w:pStyle w:val="ECHRPara"/>
        <w:rPr>
          <w:lang w:val="fr-FR"/>
        </w:rPr>
      </w:pPr>
      <w:r>
        <w:rPr>
          <w:lang w:val="fr-FR"/>
        </w:rPr>
        <w:t>Le requérant invoque l</w:t>
      </w:r>
      <w:r w:rsidR="00BF495C">
        <w:rPr>
          <w:lang w:val="fr-FR"/>
        </w:rPr>
        <w:t>’</w:t>
      </w:r>
      <w:r>
        <w:rPr>
          <w:lang w:val="fr-FR"/>
        </w:rPr>
        <w:t>article 7 de la Convention, ainsi libellé :</w:t>
      </w:r>
    </w:p>
    <w:p w:rsidR="00F606DC" w:rsidRPr="002655D8" w:rsidRDefault="00F606DC" w:rsidP="005450A6">
      <w:pPr>
        <w:pStyle w:val="ECHRParaQuote"/>
        <w:rPr>
          <w:lang w:val="fr-FR"/>
        </w:rPr>
      </w:pPr>
      <w:r w:rsidRPr="002655D8">
        <w:rPr>
          <w:lang w:val="fr-FR"/>
        </w:rPr>
        <w:t>« 1.  Nul ne peut être condamné pour une action ou une omission qui, au moment où elle a été commise, ne constituait pas une infraction d</w:t>
      </w:r>
      <w:r w:rsidR="00BF495C">
        <w:rPr>
          <w:lang w:val="fr-FR"/>
        </w:rPr>
        <w:t>’</w:t>
      </w:r>
      <w:r w:rsidRPr="002655D8">
        <w:rPr>
          <w:lang w:val="fr-FR"/>
        </w:rPr>
        <w:t>après le droit national ou international. De même il n</w:t>
      </w:r>
      <w:r w:rsidR="00BF495C">
        <w:rPr>
          <w:lang w:val="fr-FR"/>
        </w:rPr>
        <w:t>’</w:t>
      </w:r>
      <w:r w:rsidRPr="002655D8">
        <w:rPr>
          <w:lang w:val="fr-FR"/>
        </w:rPr>
        <w:t>est infligé aucune peine plus forte que celle qui était applicable au moment où l</w:t>
      </w:r>
      <w:r w:rsidR="00BF495C">
        <w:rPr>
          <w:lang w:val="fr-FR"/>
        </w:rPr>
        <w:t>’</w:t>
      </w:r>
      <w:r w:rsidRPr="002655D8">
        <w:rPr>
          <w:lang w:val="fr-FR"/>
        </w:rPr>
        <w:t>infraction a été commise.</w:t>
      </w:r>
    </w:p>
    <w:p w:rsidR="00F606DC" w:rsidRDefault="00F606DC" w:rsidP="005450A6">
      <w:pPr>
        <w:pStyle w:val="ECHRParaQuote"/>
        <w:rPr>
          <w:lang w:val="fr-FR"/>
        </w:rPr>
      </w:pPr>
      <w:r w:rsidRPr="002655D8">
        <w:rPr>
          <w:lang w:val="fr-FR"/>
        </w:rPr>
        <w:t>2.  Le présent article ne portera pas atteinte au jugement et à la punition d</w:t>
      </w:r>
      <w:r w:rsidR="00BF495C">
        <w:rPr>
          <w:lang w:val="fr-FR"/>
        </w:rPr>
        <w:t>’</w:t>
      </w:r>
      <w:r w:rsidRPr="002655D8">
        <w:rPr>
          <w:lang w:val="fr-FR"/>
        </w:rPr>
        <w:t>une personne coupable d</w:t>
      </w:r>
      <w:r w:rsidR="00BF495C">
        <w:rPr>
          <w:lang w:val="fr-FR"/>
        </w:rPr>
        <w:t>’</w:t>
      </w:r>
      <w:r w:rsidRPr="002655D8">
        <w:rPr>
          <w:lang w:val="fr-FR"/>
        </w:rPr>
        <w:t>une action ou d</w:t>
      </w:r>
      <w:r w:rsidR="00BF495C">
        <w:rPr>
          <w:lang w:val="fr-FR"/>
        </w:rPr>
        <w:t>’</w:t>
      </w:r>
      <w:r w:rsidRPr="002655D8">
        <w:rPr>
          <w:lang w:val="fr-FR"/>
        </w:rPr>
        <w:t>une omission qui, au moment où elle a été commise, était criminelle d</w:t>
      </w:r>
      <w:r w:rsidR="00BF495C">
        <w:rPr>
          <w:lang w:val="fr-FR"/>
        </w:rPr>
        <w:t>’</w:t>
      </w:r>
      <w:r w:rsidRPr="002655D8">
        <w:rPr>
          <w:lang w:val="fr-FR"/>
        </w:rPr>
        <w:t>après les principes généraux de droit reconnus par les nations civilisées. »</w:t>
      </w:r>
    </w:p>
    <w:p w:rsidR="00F606DC" w:rsidRDefault="00F606DC" w:rsidP="005450A6">
      <w:pPr>
        <w:pStyle w:val="ECHRHeading3"/>
        <w:rPr>
          <w:lang w:val="fr-FR"/>
        </w:rPr>
      </w:pPr>
      <w:r>
        <w:rPr>
          <w:lang w:val="fr-FR"/>
        </w:rPr>
        <w:t>1.  Principes généraux</w:t>
      </w:r>
    </w:p>
    <w:p w:rsidR="00F606DC" w:rsidRDefault="00F606DC" w:rsidP="005450A6">
      <w:pPr>
        <w:pStyle w:val="ECHRPara"/>
        <w:rPr>
          <w:lang w:val="fr-FR"/>
        </w:rPr>
      </w:pPr>
      <w:r>
        <w:rPr>
          <w:lang w:val="fr-FR"/>
        </w:rPr>
        <w:t>36.  La Cour rappelle que l</w:t>
      </w:r>
      <w:r w:rsidR="00BF495C">
        <w:rPr>
          <w:rFonts w:ascii="Times New (W1)" w:hAnsi="Times New (W1)" w:cs="Times New (W1)"/>
          <w:lang w:val="fr-FR"/>
        </w:rPr>
        <w:t>’</w:t>
      </w:r>
      <w:r w:rsidRPr="008A42D2">
        <w:rPr>
          <w:rFonts w:ascii="Times New (W1)" w:hAnsi="Times New (W1)" w:cs="Times New (W1)"/>
          <w:lang w:val="fr-FR"/>
        </w:rPr>
        <w:t xml:space="preserve">article 7 de la Convention </w:t>
      </w:r>
      <w:r w:rsidRPr="008A42D2">
        <w:rPr>
          <w:lang w:val="fr-FR"/>
        </w:rPr>
        <w:t>consacre le principe de la légalité des délits et des peines –</w:t>
      </w:r>
      <w:r>
        <w:rPr>
          <w:lang w:val="fr-FR"/>
        </w:rPr>
        <w:t xml:space="preserve"> </w:t>
      </w:r>
      <w:r w:rsidRPr="008A42D2">
        <w:rPr>
          <w:lang w:val="fr-FR"/>
        </w:rPr>
        <w:t>« </w:t>
      </w:r>
      <w:r w:rsidRPr="008A42D2">
        <w:rPr>
          <w:i/>
          <w:iCs/>
          <w:lang w:val="fr-FR"/>
        </w:rPr>
        <w:t xml:space="preserve">nullum crimen, nulla </w:t>
      </w:r>
      <w:r w:rsidRPr="008A42D2">
        <w:rPr>
          <w:i/>
          <w:iCs/>
          <w:lang w:val="fr-FR"/>
        </w:rPr>
        <w:lastRenderedPageBreak/>
        <w:t>poena sine lege</w:t>
      </w:r>
      <w:r w:rsidRPr="008A42D2">
        <w:rPr>
          <w:iCs/>
          <w:lang w:val="fr-FR"/>
        </w:rPr>
        <w:t> »</w:t>
      </w:r>
      <w:r w:rsidRPr="008A42D2">
        <w:rPr>
          <w:lang w:val="fr-FR"/>
        </w:rPr>
        <w:t xml:space="preserve"> – (</w:t>
      </w:r>
      <w:r w:rsidRPr="008A42D2">
        <w:rPr>
          <w:i/>
          <w:iCs/>
          <w:lang w:val="fr-FR"/>
        </w:rPr>
        <w:t>Kokkinakis c. Grèce</w:t>
      </w:r>
      <w:smartTag w:uri="urn:schemas-microsoft-com:office:smarttags" w:element="PersonName">
        <w:r w:rsidRPr="008A42D2">
          <w:rPr>
            <w:lang w:val="fr-FR"/>
          </w:rPr>
          <w:t>,</w:t>
        </w:r>
      </w:smartTag>
      <w:r w:rsidRPr="008A42D2">
        <w:rPr>
          <w:lang w:val="fr-FR"/>
        </w:rPr>
        <w:t xml:space="preserve"> 25 mai 1993</w:t>
      </w:r>
      <w:smartTag w:uri="urn:schemas-microsoft-com:office:smarttags" w:element="PersonName">
        <w:r w:rsidRPr="008A42D2">
          <w:rPr>
            <w:lang w:val="fr-FR"/>
          </w:rPr>
          <w:t>,</w:t>
        </w:r>
      </w:smartTag>
      <w:r w:rsidRPr="008A42D2">
        <w:rPr>
          <w:lang w:val="fr-FR"/>
        </w:rPr>
        <w:t xml:space="preserve"> § 52</w:t>
      </w:r>
      <w:smartTag w:uri="urn:schemas-microsoft-com:office:smarttags" w:element="PersonName">
        <w:r w:rsidRPr="008A42D2">
          <w:rPr>
            <w:lang w:val="fr-FR"/>
          </w:rPr>
          <w:t>,</w:t>
        </w:r>
      </w:smartTag>
      <w:r w:rsidRPr="008A42D2">
        <w:rPr>
          <w:lang w:val="fr-FR"/>
        </w:rPr>
        <w:t xml:space="preserve"> série A n</w:t>
      </w:r>
      <w:r w:rsidRPr="008A42D2">
        <w:rPr>
          <w:vertAlign w:val="superscript"/>
          <w:lang w:val="fr-FR"/>
        </w:rPr>
        <w:t>o</w:t>
      </w:r>
      <w:r w:rsidRPr="008A42D2">
        <w:rPr>
          <w:lang w:val="fr-FR"/>
        </w:rPr>
        <w:t> 260-A). S</w:t>
      </w:r>
      <w:r w:rsidR="00BF495C">
        <w:rPr>
          <w:lang w:val="fr-FR"/>
        </w:rPr>
        <w:t>’</w:t>
      </w:r>
      <w:r w:rsidRPr="008A42D2">
        <w:rPr>
          <w:lang w:val="fr-FR"/>
        </w:rPr>
        <w:t>il interdit en particulier d</w:t>
      </w:r>
      <w:r w:rsidR="00BF495C">
        <w:rPr>
          <w:lang w:val="fr-FR"/>
        </w:rPr>
        <w:t>’</w:t>
      </w:r>
      <w:r w:rsidRPr="008A42D2">
        <w:rPr>
          <w:lang w:val="fr-FR"/>
        </w:rPr>
        <w:t>étendre le champ d</w:t>
      </w:r>
      <w:r w:rsidR="00BF495C">
        <w:rPr>
          <w:lang w:val="fr-FR"/>
        </w:rPr>
        <w:t>’</w:t>
      </w:r>
      <w:r w:rsidRPr="008A42D2">
        <w:rPr>
          <w:lang w:val="fr-FR"/>
        </w:rPr>
        <w:t>application des infractions existantes à des faits qui, antérieurement, ne constituaient pas des infractions, il commande en outre de ne pas appliquer la loi pénale de manière extensive au détriment de l</w:t>
      </w:r>
      <w:r w:rsidR="00BF495C">
        <w:rPr>
          <w:lang w:val="fr-FR"/>
        </w:rPr>
        <w:t>’</w:t>
      </w:r>
      <w:r w:rsidRPr="008A42D2">
        <w:rPr>
          <w:lang w:val="fr-FR"/>
        </w:rPr>
        <w:t>accusé, par exemple par analogie (</w:t>
      </w:r>
      <w:r w:rsidRPr="008A42D2">
        <w:rPr>
          <w:i/>
          <w:iCs/>
          <w:lang w:val="fr-FR"/>
        </w:rPr>
        <w:t>Coëme et autres c.</w:t>
      </w:r>
      <w:r w:rsidR="0009064A">
        <w:rPr>
          <w:i/>
          <w:iCs/>
          <w:lang w:val="fr-FR"/>
        </w:rPr>
        <w:t xml:space="preserve"> </w:t>
      </w:r>
      <w:r w:rsidRPr="008A42D2">
        <w:rPr>
          <w:i/>
          <w:iCs/>
          <w:lang w:val="fr-FR"/>
        </w:rPr>
        <w:t>Belgique</w:t>
      </w:r>
      <w:r w:rsidRPr="008A42D2">
        <w:rPr>
          <w:lang w:val="fr-FR"/>
        </w:rPr>
        <w:t>, n</w:t>
      </w:r>
      <w:r w:rsidRPr="008A42D2">
        <w:rPr>
          <w:vertAlign w:val="superscript"/>
          <w:lang w:val="fr-FR"/>
        </w:rPr>
        <w:t>os</w:t>
      </w:r>
      <w:r w:rsidRPr="008A42D2">
        <w:rPr>
          <w:lang w:val="fr-FR"/>
        </w:rPr>
        <w:t xml:space="preserve"> 32492/96, 32547/96, 32548/96, 33209/96 et 33210/96, §</w:t>
      </w:r>
      <w:r w:rsidR="0009064A">
        <w:rPr>
          <w:lang w:val="fr-FR"/>
        </w:rPr>
        <w:t xml:space="preserve"> </w:t>
      </w:r>
      <w:r w:rsidRPr="008A42D2">
        <w:rPr>
          <w:lang w:val="fr-FR"/>
        </w:rPr>
        <w:t>145, CEDH 2000-VII</w:t>
      </w:r>
      <w:r>
        <w:rPr>
          <w:lang w:val="fr-FR"/>
        </w:rPr>
        <w:t xml:space="preserve">, et </w:t>
      </w:r>
      <w:r>
        <w:rPr>
          <w:i/>
          <w:iCs/>
          <w:lang w:val="fr-FR"/>
        </w:rPr>
        <w:t xml:space="preserve">Del Rio Prada c. Espagne </w:t>
      </w:r>
      <w:r>
        <w:rPr>
          <w:iCs/>
          <w:lang w:val="fr-FR"/>
        </w:rPr>
        <w:t>[GC], n</w:t>
      </w:r>
      <w:r w:rsidRPr="007C0B2A">
        <w:rPr>
          <w:iCs/>
          <w:vertAlign w:val="superscript"/>
          <w:lang w:val="fr-FR"/>
        </w:rPr>
        <w:t>o</w:t>
      </w:r>
      <w:r>
        <w:rPr>
          <w:iCs/>
          <w:vertAlign w:val="superscript"/>
          <w:lang w:val="fr-FR"/>
        </w:rPr>
        <w:t> </w:t>
      </w:r>
      <w:r>
        <w:rPr>
          <w:iCs/>
          <w:lang w:val="fr-FR"/>
        </w:rPr>
        <w:t>42750/09, § 78, CEDH 2013</w:t>
      </w:r>
      <w:r w:rsidRPr="008A42D2">
        <w:rPr>
          <w:lang w:val="fr-FR"/>
        </w:rPr>
        <w:t>).</w:t>
      </w:r>
    </w:p>
    <w:p w:rsidR="00F606DC" w:rsidRDefault="00F606DC" w:rsidP="005450A6">
      <w:pPr>
        <w:pStyle w:val="ECHRPara"/>
        <w:rPr>
          <w:lang w:val="fr-FR"/>
        </w:rPr>
      </w:pPr>
      <w:r>
        <w:rPr>
          <w:lang w:val="fr-FR"/>
        </w:rPr>
        <w:t>37</w:t>
      </w:r>
      <w:r w:rsidRPr="008A42D2">
        <w:rPr>
          <w:lang w:val="fr-FR"/>
        </w:rPr>
        <w:t>.  Il s</w:t>
      </w:r>
      <w:r w:rsidR="00BF495C">
        <w:rPr>
          <w:lang w:val="fr-FR"/>
        </w:rPr>
        <w:t>’</w:t>
      </w:r>
      <w:r w:rsidRPr="008A42D2">
        <w:rPr>
          <w:lang w:val="fr-FR"/>
        </w:rPr>
        <w:t>ensuit que la loi doit définir clairement les infractions et les peines qui les répriment. Cette condition se trouve remplie lorsque le justiciable peut savoir</w:t>
      </w:r>
      <w:smartTag w:uri="urn:schemas-microsoft-com:office:smarttags" w:element="PersonName">
        <w:r w:rsidRPr="008A42D2">
          <w:rPr>
            <w:lang w:val="fr-FR"/>
          </w:rPr>
          <w:t>,</w:t>
        </w:r>
      </w:smartTag>
      <w:r w:rsidRPr="008A42D2">
        <w:rPr>
          <w:lang w:val="fr-FR"/>
        </w:rPr>
        <w:t xml:space="preserve"> à partir du libellé de la disposition pertinente, au besoin à l</w:t>
      </w:r>
      <w:r w:rsidR="00BF495C">
        <w:rPr>
          <w:lang w:val="fr-FR"/>
        </w:rPr>
        <w:t>’</w:t>
      </w:r>
      <w:r w:rsidRPr="008A42D2">
        <w:rPr>
          <w:lang w:val="fr-FR"/>
        </w:rPr>
        <w:t>aide de l</w:t>
      </w:r>
      <w:r w:rsidR="00BF495C">
        <w:rPr>
          <w:lang w:val="fr-FR"/>
        </w:rPr>
        <w:t>’</w:t>
      </w:r>
      <w:r w:rsidRPr="008A42D2">
        <w:rPr>
          <w:lang w:val="fr-FR"/>
        </w:rPr>
        <w:t>interprétation qui en est donnée par les tribunaux et le cas échéant après avoir recouru à des conseils éclairés, quels actes et omissions engagent sa responsabilité pénale et quelle peine il encourt de ce chef (</w:t>
      </w:r>
      <w:r w:rsidRPr="008A42D2">
        <w:rPr>
          <w:i/>
          <w:lang w:val="fr-FR"/>
        </w:rPr>
        <w:t>Cantoni c. France</w:t>
      </w:r>
      <w:r w:rsidRPr="008A42D2">
        <w:rPr>
          <w:lang w:val="fr-FR"/>
        </w:rPr>
        <w:t xml:space="preserve">, 15 novembre 1996, § 29, </w:t>
      </w:r>
      <w:r w:rsidRPr="008A42D2">
        <w:rPr>
          <w:i/>
          <w:lang w:val="fr-FR"/>
        </w:rPr>
        <w:t>Recueil des arrêts et décisions</w:t>
      </w:r>
      <w:r w:rsidRPr="008A42D2">
        <w:rPr>
          <w:lang w:val="fr-FR"/>
        </w:rPr>
        <w:t xml:space="preserve"> 1996</w:t>
      </w:r>
      <w:r w:rsidRPr="008A42D2">
        <w:rPr>
          <w:lang w:val="fr-FR"/>
        </w:rPr>
        <w:noBreakHyphen/>
        <w:t>V</w:t>
      </w:r>
      <w:r>
        <w:rPr>
          <w:lang w:val="fr-FR"/>
        </w:rPr>
        <w:t xml:space="preserve"> ; </w:t>
      </w:r>
      <w:r>
        <w:rPr>
          <w:i/>
          <w:lang w:val="fr-FR"/>
        </w:rPr>
        <w:t>Del Rio Prada</w:t>
      </w:r>
      <w:r>
        <w:rPr>
          <w:lang w:val="fr-FR"/>
        </w:rPr>
        <w:t xml:space="preserve">, précité, § 79 ; et </w:t>
      </w:r>
      <w:r>
        <w:rPr>
          <w:i/>
          <w:lang w:val="fr-FR"/>
        </w:rPr>
        <w:t>Sampech</w:t>
      </w:r>
      <w:r>
        <w:rPr>
          <w:lang w:val="fr-FR"/>
        </w:rPr>
        <w:t>, décision précitée, § 123</w:t>
      </w:r>
      <w:r w:rsidRPr="008A42D2">
        <w:rPr>
          <w:lang w:val="fr-FR"/>
        </w:rPr>
        <w:t>).</w:t>
      </w:r>
    </w:p>
    <w:p w:rsidR="00F606DC" w:rsidRDefault="00F606DC" w:rsidP="005450A6">
      <w:pPr>
        <w:pStyle w:val="ECHRPara"/>
        <w:rPr>
          <w:szCs w:val="24"/>
          <w:lang w:val="fr-FR"/>
        </w:rPr>
      </w:pPr>
      <w:r>
        <w:rPr>
          <w:lang w:val="fr-FR"/>
        </w:rPr>
        <w:t>38</w:t>
      </w:r>
      <w:r w:rsidRPr="008A42D2">
        <w:rPr>
          <w:lang w:val="fr-FR"/>
        </w:rPr>
        <w:t>.  La tâche qui incombe à la Cour est donc, notamment, de s</w:t>
      </w:r>
      <w:r w:rsidR="00BF495C">
        <w:rPr>
          <w:lang w:val="fr-FR"/>
        </w:rPr>
        <w:t>’</w:t>
      </w:r>
      <w:r w:rsidRPr="008A42D2">
        <w:rPr>
          <w:lang w:val="fr-FR"/>
        </w:rPr>
        <w:t>assurer que, au moment où un accusé a commis l</w:t>
      </w:r>
      <w:r w:rsidR="00BF495C">
        <w:rPr>
          <w:lang w:val="fr-FR"/>
        </w:rPr>
        <w:t>’</w:t>
      </w:r>
      <w:r w:rsidRPr="008A42D2">
        <w:rPr>
          <w:lang w:val="fr-FR"/>
        </w:rPr>
        <w:t>acte qui a donné lieu aux poursuites et à la condamnation, il existait une disposition légale rendant l</w:t>
      </w:r>
      <w:r w:rsidR="00BF495C">
        <w:rPr>
          <w:lang w:val="fr-FR"/>
        </w:rPr>
        <w:t>’</w:t>
      </w:r>
      <w:r w:rsidRPr="008A42D2">
        <w:rPr>
          <w:lang w:val="fr-FR"/>
        </w:rPr>
        <w:t>acte punissable et que la peine imposée n</w:t>
      </w:r>
      <w:r w:rsidR="00BF495C">
        <w:rPr>
          <w:lang w:val="fr-FR"/>
        </w:rPr>
        <w:t>’</w:t>
      </w:r>
      <w:r w:rsidRPr="008A42D2">
        <w:rPr>
          <w:lang w:val="fr-FR"/>
        </w:rPr>
        <w:t>a pas excédé les limites fixées par cette disposition (</w:t>
      </w:r>
      <w:r w:rsidRPr="008A42D2">
        <w:rPr>
          <w:i/>
          <w:szCs w:val="24"/>
          <w:lang w:val="fr-FR"/>
        </w:rPr>
        <w:t>Achour c. France</w:t>
      </w:r>
      <w:r w:rsidRPr="008A42D2">
        <w:rPr>
          <w:szCs w:val="24"/>
          <w:lang w:val="fr-FR"/>
        </w:rPr>
        <w:t xml:space="preserve"> [GC], n</w:t>
      </w:r>
      <w:r w:rsidRPr="008A42D2">
        <w:rPr>
          <w:szCs w:val="24"/>
          <w:vertAlign w:val="superscript"/>
          <w:lang w:val="fr-FR"/>
        </w:rPr>
        <w:t>o</w:t>
      </w:r>
      <w:r w:rsidR="005450A6">
        <w:rPr>
          <w:szCs w:val="24"/>
          <w:lang w:val="fr-FR"/>
        </w:rPr>
        <w:t xml:space="preserve"> 67335/01, § 43, CEDH </w:t>
      </w:r>
      <w:r w:rsidRPr="008A42D2">
        <w:rPr>
          <w:szCs w:val="24"/>
          <w:lang w:val="fr-FR"/>
        </w:rPr>
        <w:t>2006</w:t>
      </w:r>
      <w:r w:rsidRPr="008A42D2">
        <w:rPr>
          <w:szCs w:val="24"/>
          <w:lang w:val="fr-FR"/>
        </w:rPr>
        <w:noBreakHyphen/>
        <w:t>IV</w:t>
      </w:r>
      <w:r>
        <w:rPr>
          <w:szCs w:val="24"/>
          <w:lang w:val="fr-FR"/>
        </w:rPr>
        <w:t xml:space="preserve"> ; </w:t>
      </w:r>
      <w:r w:rsidRPr="009C65F1">
        <w:rPr>
          <w:i/>
          <w:lang w:val="fr-FR"/>
        </w:rPr>
        <w:t>Scoppola (n</w:t>
      </w:r>
      <w:r w:rsidRPr="007C0B2A">
        <w:rPr>
          <w:i/>
          <w:vertAlign w:val="superscript"/>
          <w:lang w:val="fr-FR"/>
        </w:rPr>
        <w:t>o</w:t>
      </w:r>
      <w:r w:rsidRPr="009C65F1">
        <w:rPr>
          <w:i/>
          <w:lang w:val="fr-FR"/>
        </w:rPr>
        <w:t xml:space="preserve"> 2)</w:t>
      </w:r>
      <w:r w:rsidRPr="009C65F1">
        <w:rPr>
          <w:lang w:val="fr-FR"/>
        </w:rPr>
        <w:t xml:space="preserve">, </w:t>
      </w:r>
      <w:r>
        <w:rPr>
          <w:lang w:val="fr-FR"/>
        </w:rPr>
        <w:t>précité</w:t>
      </w:r>
      <w:r w:rsidRPr="009C65F1">
        <w:rPr>
          <w:lang w:val="fr-FR"/>
        </w:rPr>
        <w:t>, § 9</w:t>
      </w:r>
      <w:r>
        <w:rPr>
          <w:lang w:val="fr-FR"/>
        </w:rPr>
        <w:t xml:space="preserve">5 ; et </w:t>
      </w:r>
      <w:r>
        <w:rPr>
          <w:i/>
          <w:lang w:val="fr-FR"/>
        </w:rPr>
        <w:t>Del Rio Prada</w:t>
      </w:r>
      <w:r w:rsidR="005450A6">
        <w:rPr>
          <w:lang w:val="fr-FR"/>
        </w:rPr>
        <w:t>, précité, § </w:t>
      </w:r>
      <w:r>
        <w:rPr>
          <w:lang w:val="fr-FR"/>
        </w:rPr>
        <w:t>80</w:t>
      </w:r>
      <w:r w:rsidRPr="008A42D2">
        <w:rPr>
          <w:szCs w:val="24"/>
          <w:lang w:val="fr-FR"/>
        </w:rPr>
        <w:t>).</w:t>
      </w:r>
    </w:p>
    <w:p w:rsidR="00F606DC" w:rsidRDefault="00F606DC" w:rsidP="005450A6">
      <w:pPr>
        <w:pStyle w:val="ECHRPara"/>
        <w:rPr>
          <w:lang w:val="fr-FR"/>
        </w:rPr>
      </w:pPr>
      <w:r>
        <w:rPr>
          <w:szCs w:val="24"/>
          <w:lang w:val="fr-FR"/>
        </w:rPr>
        <w:t>39.  </w:t>
      </w:r>
      <w:r>
        <w:rPr>
          <w:lang w:val="fr-FR"/>
        </w:rPr>
        <w:t>En outre, la Cour rappelle que l</w:t>
      </w:r>
      <w:r w:rsidRPr="008A42D2">
        <w:rPr>
          <w:lang w:val="fr-FR"/>
        </w:rPr>
        <w:t>a notion de « droit » (« </w:t>
      </w:r>
      <w:r w:rsidRPr="008A42D2">
        <w:rPr>
          <w:i/>
          <w:iCs/>
          <w:lang w:val="fr-FR"/>
        </w:rPr>
        <w:t>law</w:t>
      </w:r>
      <w:r w:rsidRPr="008A42D2">
        <w:rPr>
          <w:lang w:val="fr-FR"/>
        </w:rPr>
        <w:t> ») utilisée à l</w:t>
      </w:r>
      <w:r w:rsidR="00BF495C">
        <w:rPr>
          <w:lang w:val="fr-FR"/>
        </w:rPr>
        <w:t>’</w:t>
      </w:r>
      <w:r w:rsidRPr="008A42D2">
        <w:rPr>
          <w:lang w:val="fr-FR"/>
        </w:rPr>
        <w:t xml:space="preserve">article 7 </w:t>
      </w:r>
      <w:r>
        <w:rPr>
          <w:lang w:val="fr-FR"/>
        </w:rPr>
        <w:t xml:space="preserve">de la Convention </w:t>
      </w:r>
      <w:r w:rsidRPr="008A42D2">
        <w:rPr>
          <w:lang w:val="fr-FR"/>
        </w:rPr>
        <w:t>correspond à celle de « loi » qui figure dans d</w:t>
      </w:r>
      <w:r w:rsidR="00BF495C">
        <w:rPr>
          <w:lang w:val="fr-FR"/>
        </w:rPr>
        <w:t>’</w:t>
      </w:r>
      <w:r w:rsidRPr="008A42D2">
        <w:rPr>
          <w:lang w:val="fr-FR"/>
        </w:rPr>
        <w:t>autres articles de la Convention</w:t>
      </w:r>
      <w:r>
        <w:rPr>
          <w:lang w:val="fr-FR"/>
        </w:rPr>
        <w:t> :</w:t>
      </w:r>
      <w:r w:rsidRPr="008A42D2">
        <w:rPr>
          <w:lang w:val="fr-FR"/>
        </w:rPr>
        <w:t xml:space="preserve"> elle englobe le droit d</w:t>
      </w:r>
      <w:r w:rsidR="00BF495C">
        <w:rPr>
          <w:lang w:val="fr-FR"/>
        </w:rPr>
        <w:t>’</w:t>
      </w:r>
      <w:r w:rsidRPr="008A42D2">
        <w:rPr>
          <w:lang w:val="fr-FR"/>
        </w:rPr>
        <w:t>origine tant législative que jurisprudentielle et implique des conditions qualitatives, entre autres celles d</w:t>
      </w:r>
      <w:r w:rsidR="00BF495C">
        <w:rPr>
          <w:lang w:val="fr-FR"/>
        </w:rPr>
        <w:t>’</w:t>
      </w:r>
      <w:r w:rsidRPr="008A42D2">
        <w:rPr>
          <w:lang w:val="fr-FR"/>
        </w:rPr>
        <w:t xml:space="preserve">accessibilité et de prévisibilité </w:t>
      </w:r>
      <w:r>
        <w:rPr>
          <w:lang w:val="fr-FR"/>
        </w:rPr>
        <w:t>(</w:t>
      </w:r>
      <w:r w:rsidRPr="008A42D2">
        <w:rPr>
          <w:rFonts w:ascii="Times New (W1)" w:hAnsi="Times New (W1)"/>
          <w:i/>
          <w:szCs w:val="24"/>
          <w:lang w:val="fr-FR"/>
        </w:rPr>
        <w:t>E.K. c.</w:t>
      </w:r>
      <w:r w:rsidR="0009064A">
        <w:rPr>
          <w:rFonts w:ascii="Times New (W1)" w:hAnsi="Times New (W1)"/>
          <w:i/>
          <w:szCs w:val="24"/>
          <w:lang w:val="fr-FR"/>
        </w:rPr>
        <w:t xml:space="preserve"> </w:t>
      </w:r>
      <w:r w:rsidRPr="008A42D2">
        <w:rPr>
          <w:rFonts w:ascii="Times New (W1)" w:hAnsi="Times New (W1)"/>
          <w:i/>
          <w:szCs w:val="24"/>
          <w:lang w:val="fr-FR"/>
        </w:rPr>
        <w:t>Turquie</w:t>
      </w:r>
      <w:r w:rsidRPr="008A42D2">
        <w:rPr>
          <w:rFonts w:ascii="Times New (W1)" w:hAnsi="Times New (W1)"/>
          <w:szCs w:val="24"/>
          <w:lang w:val="fr-FR"/>
        </w:rPr>
        <w:t>, n</w:t>
      </w:r>
      <w:r w:rsidRPr="008A42D2">
        <w:rPr>
          <w:rFonts w:ascii="Times New (W1)" w:hAnsi="Times New (W1)"/>
          <w:szCs w:val="24"/>
          <w:vertAlign w:val="superscript"/>
          <w:lang w:val="fr-FR"/>
        </w:rPr>
        <w:t>o</w:t>
      </w:r>
      <w:r>
        <w:rPr>
          <w:rFonts w:ascii="Times New (W1)" w:hAnsi="Times New (W1)"/>
          <w:szCs w:val="24"/>
          <w:lang w:val="fr-FR"/>
        </w:rPr>
        <w:t> </w:t>
      </w:r>
      <w:r w:rsidRPr="008A42D2">
        <w:rPr>
          <w:rFonts w:ascii="Times New (W1)" w:hAnsi="Times New (W1)"/>
          <w:szCs w:val="24"/>
          <w:lang w:val="fr-FR"/>
        </w:rPr>
        <w:t>28496/95, § 51, 7</w:t>
      </w:r>
      <w:r w:rsidR="0009064A">
        <w:rPr>
          <w:rFonts w:ascii="Times New (W1)" w:hAnsi="Times New (W1)"/>
          <w:szCs w:val="24"/>
          <w:lang w:val="fr-FR"/>
        </w:rPr>
        <w:t xml:space="preserve"> </w:t>
      </w:r>
      <w:r w:rsidRPr="008A42D2">
        <w:rPr>
          <w:rFonts w:ascii="Times New (W1)" w:hAnsi="Times New (W1)"/>
          <w:szCs w:val="24"/>
          <w:lang w:val="fr-FR"/>
        </w:rPr>
        <w:t>février 2002</w:t>
      </w:r>
      <w:r w:rsidRPr="008A42D2">
        <w:rPr>
          <w:lang w:val="fr-FR"/>
        </w:rPr>
        <w:t>). Ces conditions qualitatives doivent être remplies tant pour la définition d</w:t>
      </w:r>
      <w:r w:rsidR="00BF495C">
        <w:rPr>
          <w:lang w:val="fr-FR"/>
        </w:rPr>
        <w:t>’</w:t>
      </w:r>
      <w:r w:rsidRPr="008A42D2">
        <w:rPr>
          <w:lang w:val="fr-FR"/>
        </w:rPr>
        <w:t>une infraction que pour la peine que celle</w:t>
      </w:r>
      <w:r>
        <w:rPr>
          <w:lang w:val="fr-FR"/>
        </w:rPr>
        <w:noBreakHyphen/>
      </w:r>
      <w:r w:rsidRPr="008A42D2">
        <w:rPr>
          <w:lang w:val="fr-FR"/>
        </w:rPr>
        <w:t>ci implique</w:t>
      </w:r>
      <w:r>
        <w:rPr>
          <w:lang w:val="fr-FR"/>
        </w:rPr>
        <w:t xml:space="preserve"> (</w:t>
      </w:r>
      <w:r>
        <w:rPr>
          <w:i/>
          <w:lang w:val="fr-FR"/>
        </w:rPr>
        <w:t>Del Rio Prada</w:t>
      </w:r>
      <w:r>
        <w:rPr>
          <w:lang w:val="fr-FR"/>
        </w:rPr>
        <w:t>, précité, §</w:t>
      </w:r>
      <w:r w:rsidR="0009064A">
        <w:rPr>
          <w:lang w:val="fr-FR"/>
        </w:rPr>
        <w:t xml:space="preserve"> </w:t>
      </w:r>
      <w:r>
        <w:rPr>
          <w:lang w:val="fr-FR"/>
        </w:rPr>
        <w:t>91)</w:t>
      </w:r>
      <w:r w:rsidRPr="008A42D2">
        <w:rPr>
          <w:lang w:val="fr-FR"/>
        </w:rPr>
        <w:t>.</w:t>
      </w:r>
    </w:p>
    <w:p w:rsidR="00F606DC" w:rsidRPr="009C65F1" w:rsidRDefault="00F606DC" w:rsidP="005450A6">
      <w:pPr>
        <w:pStyle w:val="ECHRPara"/>
        <w:rPr>
          <w:lang w:val="fr-FR"/>
        </w:rPr>
      </w:pPr>
      <w:r>
        <w:rPr>
          <w:lang w:val="fr-FR"/>
        </w:rPr>
        <w:t>40.  </w:t>
      </w:r>
      <w:r w:rsidRPr="008A42D2">
        <w:rPr>
          <w:lang w:val="fr-FR"/>
        </w:rPr>
        <w:t>En raison même du caractère général des lois, le libellé de celles-ci ne peut pas présenter une précision absolue. L</w:t>
      </w:r>
      <w:r w:rsidR="00BF495C">
        <w:rPr>
          <w:lang w:val="fr-FR"/>
        </w:rPr>
        <w:t>’</w:t>
      </w:r>
      <w:r w:rsidRPr="008A42D2">
        <w:rPr>
          <w:lang w:val="fr-FR"/>
        </w:rPr>
        <w:t>une des techniques</w:t>
      </w:r>
      <w:r>
        <w:rPr>
          <w:lang w:val="fr-FR"/>
        </w:rPr>
        <w:t xml:space="preserve"> législatives</w:t>
      </w:r>
      <w:r w:rsidRPr="008A42D2">
        <w:rPr>
          <w:lang w:val="fr-FR"/>
        </w:rPr>
        <w:t xml:space="preserve"> consiste à recourir à des catégories générales plutôt qu</w:t>
      </w:r>
      <w:r w:rsidR="00BF495C">
        <w:rPr>
          <w:lang w:val="fr-FR"/>
        </w:rPr>
        <w:t>’</w:t>
      </w:r>
      <w:r w:rsidRPr="008A42D2">
        <w:rPr>
          <w:lang w:val="fr-FR"/>
        </w:rPr>
        <w:t>à des listes exhaustives. Aussi beaucoup de lois se servent-elles, par la force des choses, de formules plus ou moins vagues dont l</w:t>
      </w:r>
      <w:r w:rsidR="00BF495C">
        <w:rPr>
          <w:lang w:val="fr-FR"/>
        </w:rPr>
        <w:t>’</w:t>
      </w:r>
      <w:r w:rsidRPr="008A42D2">
        <w:rPr>
          <w:lang w:val="fr-FR"/>
        </w:rPr>
        <w:t>interprétation et l</w:t>
      </w:r>
      <w:r w:rsidR="00BF495C">
        <w:rPr>
          <w:lang w:val="fr-FR"/>
        </w:rPr>
        <w:t>’</w:t>
      </w:r>
      <w:r w:rsidRPr="008A42D2">
        <w:rPr>
          <w:lang w:val="fr-FR"/>
        </w:rPr>
        <w:t>application dépendent de la pratique (</w:t>
      </w:r>
      <w:r w:rsidRPr="008A42D2">
        <w:rPr>
          <w:i/>
          <w:lang w:val="fr-FR"/>
        </w:rPr>
        <w:t>Kokkinakis</w:t>
      </w:r>
      <w:r w:rsidRPr="008A42D2">
        <w:rPr>
          <w:lang w:val="fr-FR"/>
        </w:rPr>
        <w:t xml:space="preserve">, précité, § 40, et </w:t>
      </w:r>
      <w:r w:rsidRPr="008A42D2">
        <w:rPr>
          <w:i/>
          <w:lang w:val="fr-FR"/>
        </w:rPr>
        <w:t>Cantoni</w:t>
      </w:r>
      <w:r w:rsidRPr="008A42D2">
        <w:rPr>
          <w:lang w:val="fr-FR"/>
        </w:rPr>
        <w:t>, précité, § 31). Dès lors, dans quelque système juridique que ce soit, aussi clair que le libellé d</w:t>
      </w:r>
      <w:r w:rsidR="00BF495C">
        <w:rPr>
          <w:lang w:val="fr-FR"/>
        </w:rPr>
        <w:t>’</w:t>
      </w:r>
      <w:r w:rsidRPr="008A42D2">
        <w:rPr>
          <w:lang w:val="fr-FR"/>
        </w:rPr>
        <w:t>une disposition légale puisse être, y compris une disposition de droit pénal, il existe inévitablement un élément d</w:t>
      </w:r>
      <w:r w:rsidR="00BF495C">
        <w:rPr>
          <w:lang w:val="fr-FR"/>
        </w:rPr>
        <w:t>’</w:t>
      </w:r>
      <w:r w:rsidRPr="008A42D2">
        <w:rPr>
          <w:lang w:val="fr-FR"/>
        </w:rPr>
        <w:t>interprétation judiciaire. Il faudra toujours élucider les points douteux et s</w:t>
      </w:r>
      <w:r w:rsidR="00BF495C">
        <w:rPr>
          <w:lang w:val="fr-FR"/>
        </w:rPr>
        <w:t>’</w:t>
      </w:r>
      <w:r w:rsidRPr="008A42D2">
        <w:rPr>
          <w:lang w:val="fr-FR"/>
        </w:rPr>
        <w:t>adapter aux changements de situation. En outre, la certitude, bien que hautement souhaitable, s</w:t>
      </w:r>
      <w:r w:rsidR="00BF495C">
        <w:rPr>
          <w:lang w:val="fr-FR"/>
        </w:rPr>
        <w:t>’</w:t>
      </w:r>
      <w:r w:rsidRPr="008A42D2">
        <w:rPr>
          <w:lang w:val="fr-FR"/>
        </w:rPr>
        <w:t>accompagne parfois d</w:t>
      </w:r>
      <w:r w:rsidR="00BF495C">
        <w:rPr>
          <w:lang w:val="fr-FR"/>
        </w:rPr>
        <w:t>’</w:t>
      </w:r>
      <w:r w:rsidRPr="008A42D2">
        <w:rPr>
          <w:lang w:val="fr-FR"/>
        </w:rPr>
        <w:t xml:space="preserve">une rigidité excessive ; or, </w:t>
      </w:r>
      <w:r w:rsidRPr="008A42D2">
        <w:rPr>
          <w:lang w:val="fr-FR"/>
        </w:rPr>
        <w:lastRenderedPageBreak/>
        <w:t>le droit doit savoir s</w:t>
      </w:r>
      <w:r w:rsidR="00BF495C">
        <w:rPr>
          <w:lang w:val="fr-FR"/>
        </w:rPr>
        <w:t>’</w:t>
      </w:r>
      <w:r w:rsidRPr="008A42D2">
        <w:rPr>
          <w:lang w:val="fr-FR"/>
        </w:rPr>
        <w:t xml:space="preserve">adapter aux changements de situation </w:t>
      </w:r>
      <w:r w:rsidRPr="009C65F1">
        <w:rPr>
          <w:lang w:val="fr-FR"/>
        </w:rPr>
        <w:t>(</w:t>
      </w:r>
      <w:r w:rsidRPr="009C65F1">
        <w:rPr>
          <w:i/>
          <w:lang w:val="fr-FR"/>
        </w:rPr>
        <w:t>Scoppola (n</w:t>
      </w:r>
      <w:r w:rsidRPr="007C0B2A">
        <w:rPr>
          <w:i/>
          <w:vertAlign w:val="superscript"/>
          <w:lang w:val="fr-FR"/>
        </w:rPr>
        <w:t>o</w:t>
      </w:r>
      <w:r w:rsidRPr="009C65F1">
        <w:rPr>
          <w:i/>
          <w:lang w:val="fr-FR"/>
        </w:rPr>
        <w:t> 2)</w:t>
      </w:r>
      <w:r w:rsidRPr="009C65F1">
        <w:rPr>
          <w:lang w:val="fr-FR"/>
        </w:rPr>
        <w:t>, précité, § 100</w:t>
      </w:r>
      <w:r>
        <w:rPr>
          <w:lang w:val="fr-FR"/>
        </w:rPr>
        <w:t xml:space="preserve">, et </w:t>
      </w:r>
      <w:r>
        <w:rPr>
          <w:i/>
          <w:lang w:val="fr-FR"/>
        </w:rPr>
        <w:t>Del Rio Prada</w:t>
      </w:r>
      <w:r>
        <w:rPr>
          <w:lang w:val="fr-FR"/>
        </w:rPr>
        <w:t>, précité, § 92</w:t>
      </w:r>
      <w:r w:rsidRPr="009C65F1">
        <w:rPr>
          <w:lang w:val="fr-FR"/>
        </w:rPr>
        <w:t>).</w:t>
      </w:r>
    </w:p>
    <w:p w:rsidR="00F606DC" w:rsidRDefault="00F606DC" w:rsidP="005450A6">
      <w:pPr>
        <w:pStyle w:val="ECHRPara"/>
        <w:rPr>
          <w:lang w:val="fr-FR"/>
        </w:rPr>
      </w:pPr>
      <w:r>
        <w:rPr>
          <w:lang w:val="fr-FR"/>
        </w:rPr>
        <w:t>41.  Enfin, la Cour rappelle que l</w:t>
      </w:r>
      <w:r w:rsidRPr="009C65F1">
        <w:rPr>
          <w:lang w:val="fr-FR"/>
        </w:rPr>
        <w:t>a portée de la notion de prévisibilité dépend dans une large mesure du contenu du texte dont il s</w:t>
      </w:r>
      <w:r w:rsidR="00BF495C">
        <w:rPr>
          <w:lang w:val="fr-FR"/>
        </w:rPr>
        <w:t>’</w:t>
      </w:r>
      <w:r w:rsidRPr="009C65F1">
        <w:rPr>
          <w:lang w:val="fr-FR"/>
        </w:rPr>
        <w:t>agit, du domaine qu</w:t>
      </w:r>
      <w:r w:rsidR="00BF495C">
        <w:rPr>
          <w:lang w:val="fr-FR"/>
        </w:rPr>
        <w:t>’</w:t>
      </w:r>
      <w:r w:rsidRPr="009C65F1">
        <w:rPr>
          <w:lang w:val="fr-FR"/>
        </w:rPr>
        <w:t>il couvre</w:t>
      </w:r>
      <w:r>
        <w:rPr>
          <w:lang w:val="fr-FR"/>
        </w:rPr>
        <w:t>,</w:t>
      </w:r>
      <w:r w:rsidRPr="009C65F1">
        <w:rPr>
          <w:lang w:val="fr-FR"/>
        </w:rPr>
        <w:t xml:space="preserve"> ainsi que du nombre et de la qualité de ses destinataires. La prévisibilité d</w:t>
      </w:r>
      <w:r w:rsidR="00BF495C">
        <w:rPr>
          <w:lang w:val="fr-FR"/>
        </w:rPr>
        <w:t>’</w:t>
      </w:r>
      <w:r w:rsidRPr="009C65F1">
        <w:rPr>
          <w:lang w:val="fr-FR"/>
        </w:rPr>
        <w:t>une loi ne s</w:t>
      </w:r>
      <w:r w:rsidR="00BF495C">
        <w:rPr>
          <w:lang w:val="fr-FR"/>
        </w:rPr>
        <w:t>’</w:t>
      </w:r>
      <w:r w:rsidRPr="009C65F1">
        <w:rPr>
          <w:lang w:val="fr-FR"/>
        </w:rPr>
        <w:t>oppose pas à ce que la personne concernée soit amenée à recourir à des conseils éclairés pour évaluer, à un degré raisonnable dans les circonstances de la cause, les conséquences pouvant résulter d</w:t>
      </w:r>
      <w:r w:rsidR="00BF495C">
        <w:rPr>
          <w:lang w:val="fr-FR"/>
        </w:rPr>
        <w:t>’</w:t>
      </w:r>
      <w:r w:rsidRPr="009C65F1">
        <w:rPr>
          <w:lang w:val="fr-FR"/>
        </w:rPr>
        <w:t>un acte déterminé (</w:t>
      </w:r>
      <w:r w:rsidRPr="009C65F1">
        <w:rPr>
          <w:i/>
          <w:lang w:val="fr-FR"/>
        </w:rPr>
        <w:t>Scoppola (n</w:t>
      </w:r>
      <w:r w:rsidRPr="007C0B2A">
        <w:rPr>
          <w:i/>
          <w:vertAlign w:val="superscript"/>
          <w:lang w:val="fr-FR"/>
        </w:rPr>
        <w:t>o</w:t>
      </w:r>
      <w:r w:rsidRPr="009C65F1">
        <w:rPr>
          <w:i/>
          <w:lang w:val="fr-FR"/>
        </w:rPr>
        <w:t xml:space="preserve"> 2)</w:t>
      </w:r>
      <w:r w:rsidRPr="009C65F1">
        <w:rPr>
          <w:lang w:val="fr-FR"/>
        </w:rPr>
        <w:t>, précité, § 102</w:t>
      </w:r>
      <w:r>
        <w:rPr>
          <w:lang w:val="fr-FR"/>
        </w:rPr>
        <w:t xml:space="preserve"> ; </w:t>
      </w:r>
      <w:r w:rsidR="005450A6">
        <w:rPr>
          <w:i/>
          <w:lang w:val="fr-FR"/>
        </w:rPr>
        <w:t>Soros </w:t>
      </w:r>
      <w:r>
        <w:rPr>
          <w:i/>
          <w:lang w:val="fr-FR"/>
        </w:rPr>
        <w:t>c. France</w:t>
      </w:r>
      <w:r>
        <w:rPr>
          <w:lang w:val="fr-FR"/>
        </w:rPr>
        <w:t>, n</w:t>
      </w:r>
      <w:r w:rsidRPr="007C0B2A">
        <w:rPr>
          <w:vertAlign w:val="superscript"/>
          <w:lang w:val="fr-FR"/>
        </w:rPr>
        <w:t>o</w:t>
      </w:r>
      <w:r>
        <w:rPr>
          <w:lang w:val="fr-FR"/>
        </w:rPr>
        <w:t xml:space="preserve"> 50425/06, § 53, 6 octobre 2011 ; et </w:t>
      </w:r>
      <w:r>
        <w:rPr>
          <w:i/>
          <w:lang w:val="fr-FR"/>
        </w:rPr>
        <w:t>Sampech</w:t>
      </w:r>
      <w:r>
        <w:rPr>
          <w:lang w:val="fr-FR"/>
        </w:rPr>
        <w:t>, décision précitée, § 123</w:t>
      </w:r>
      <w:r w:rsidRPr="009C65F1">
        <w:rPr>
          <w:lang w:val="fr-FR"/>
        </w:rPr>
        <w:t>).</w:t>
      </w:r>
    </w:p>
    <w:p w:rsidR="00F606DC" w:rsidRDefault="00F606DC" w:rsidP="005450A6">
      <w:pPr>
        <w:pStyle w:val="ECHRHeading3"/>
        <w:rPr>
          <w:lang w:val="fr-FR"/>
        </w:rPr>
      </w:pPr>
      <w:r>
        <w:rPr>
          <w:lang w:val="fr-FR"/>
        </w:rPr>
        <w:t>2.  Application de ces principes au cas d</w:t>
      </w:r>
      <w:r w:rsidR="00BF495C">
        <w:rPr>
          <w:lang w:val="fr-FR"/>
        </w:rPr>
        <w:t>’</w:t>
      </w:r>
      <w:r>
        <w:rPr>
          <w:lang w:val="fr-FR"/>
        </w:rPr>
        <w:t>espèce</w:t>
      </w:r>
    </w:p>
    <w:p w:rsidR="00421F1F" w:rsidRDefault="00F606DC" w:rsidP="005450A6">
      <w:pPr>
        <w:pStyle w:val="ECHRPara"/>
        <w:rPr>
          <w:lang w:val="fr-FR"/>
        </w:rPr>
      </w:pPr>
      <w:r>
        <w:rPr>
          <w:lang w:val="fr-FR"/>
        </w:rPr>
        <w:t>42.  La Cour observe d</w:t>
      </w:r>
      <w:r w:rsidR="00BF495C">
        <w:rPr>
          <w:lang w:val="fr-FR"/>
        </w:rPr>
        <w:t>’</w:t>
      </w:r>
      <w:r>
        <w:rPr>
          <w:lang w:val="fr-FR"/>
        </w:rPr>
        <w:t>emblée que le requérant ne se plaint pas d</w:t>
      </w:r>
      <w:r w:rsidR="00BF495C">
        <w:rPr>
          <w:lang w:val="fr-FR"/>
        </w:rPr>
        <w:t>’</w:t>
      </w:r>
      <w:r>
        <w:rPr>
          <w:lang w:val="fr-FR"/>
        </w:rPr>
        <w:t>un manque de clarté ou de précision des textes qui punissaient les actes pour lesquels il a été condamné. L</w:t>
      </w:r>
      <w:r w:rsidR="00BF495C">
        <w:rPr>
          <w:lang w:val="fr-FR"/>
        </w:rPr>
        <w:t>’</w:t>
      </w:r>
      <w:r>
        <w:rPr>
          <w:lang w:val="fr-FR"/>
        </w:rPr>
        <w:t>intéressé ne conteste pas non plus que la peine infligée respectait les limites prévues dans la disposition punissant l</w:t>
      </w:r>
      <w:r w:rsidR="00BF495C">
        <w:rPr>
          <w:lang w:val="fr-FR"/>
        </w:rPr>
        <w:t>’</w:t>
      </w:r>
      <w:r>
        <w:rPr>
          <w:lang w:val="fr-FR"/>
        </w:rPr>
        <w:t>infraction d</w:t>
      </w:r>
      <w:r w:rsidR="00BF495C">
        <w:rPr>
          <w:lang w:val="fr-FR"/>
        </w:rPr>
        <w:t>’</w:t>
      </w:r>
      <w:r>
        <w:rPr>
          <w:lang w:val="fr-FR"/>
        </w:rPr>
        <w:t>association de malfaiteurs de type mafieux. Il allègue, en revanche, que cette peine allait à l</w:t>
      </w:r>
      <w:r w:rsidR="00BF495C">
        <w:rPr>
          <w:lang w:val="fr-FR"/>
        </w:rPr>
        <w:t>’</w:t>
      </w:r>
      <w:r>
        <w:rPr>
          <w:lang w:val="fr-FR"/>
        </w:rPr>
        <w:t>encontre de l</w:t>
      </w:r>
      <w:r w:rsidR="00BF495C">
        <w:rPr>
          <w:lang w:val="fr-FR"/>
        </w:rPr>
        <w:t>’</w:t>
      </w:r>
      <w:r>
        <w:rPr>
          <w:lang w:val="fr-FR"/>
        </w:rPr>
        <w:t xml:space="preserve">interdiction de </w:t>
      </w:r>
      <w:r>
        <w:rPr>
          <w:i/>
          <w:lang w:val="fr-FR"/>
        </w:rPr>
        <w:t xml:space="preserve">reformatio in pejus </w:t>
      </w:r>
      <w:r>
        <w:rPr>
          <w:lang w:val="fr-FR"/>
        </w:rPr>
        <w:t>consacrée à l</w:t>
      </w:r>
      <w:r w:rsidR="00BF495C">
        <w:rPr>
          <w:lang w:val="fr-FR"/>
        </w:rPr>
        <w:t>’</w:t>
      </w:r>
      <w:r>
        <w:rPr>
          <w:lang w:val="fr-FR"/>
        </w:rPr>
        <w:t>article 597 § 3 du CPP. En particulier, selon le requérant, cette disposition interdisait à la juridiction de renvoi d</w:t>
      </w:r>
      <w:r w:rsidR="00BF495C">
        <w:rPr>
          <w:lang w:val="fr-FR"/>
        </w:rPr>
        <w:t>’</w:t>
      </w:r>
      <w:r>
        <w:rPr>
          <w:lang w:val="fr-FR"/>
        </w:rPr>
        <w:t>appliquer une peine supérieure à cinq ans et quatre mois, qui était la sanction infligée par la cour d</w:t>
      </w:r>
      <w:r w:rsidR="00BF495C">
        <w:rPr>
          <w:lang w:val="fr-FR"/>
        </w:rPr>
        <w:t>’</w:t>
      </w:r>
      <w:r>
        <w:rPr>
          <w:lang w:val="fr-FR"/>
        </w:rPr>
        <w:t>appel de Palerme dans son arrêt du 4 mai 2009 (paragraphe 8 ci-dessus).</w:t>
      </w:r>
    </w:p>
    <w:p w:rsidR="00421F1F" w:rsidRDefault="00F606DC" w:rsidP="005450A6">
      <w:pPr>
        <w:pStyle w:val="ECHRPara"/>
        <w:rPr>
          <w:lang w:val="fr-FR"/>
        </w:rPr>
      </w:pPr>
      <w:r>
        <w:rPr>
          <w:lang w:val="fr-FR"/>
        </w:rPr>
        <w:t xml:space="preserve">43.  La Cour est prête à accepter que, bien que faisant </w:t>
      </w:r>
      <w:r w:rsidRPr="00C55308">
        <w:rPr>
          <w:lang w:val="fr-FR"/>
        </w:rPr>
        <w:t>partie du CPP, dont les dispositions réglementent normalement la procédure à suivre pour poursuivre et juger les infractions</w:t>
      </w:r>
      <w:r>
        <w:rPr>
          <w:lang w:val="fr-FR"/>
        </w:rPr>
        <w:t>, l</w:t>
      </w:r>
      <w:r w:rsidR="00BF495C">
        <w:rPr>
          <w:lang w:val="fr-FR"/>
        </w:rPr>
        <w:t>’</w:t>
      </w:r>
      <w:r>
        <w:rPr>
          <w:lang w:val="fr-FR"/>
        </w:rPr>
        <w:t xml:space="preserve">article 597 § 3 précité puisse passer pour une disposition de droit pénal matériel, car elle </w:t>
      </w:r>
      <w:r w:rsidRPr="00C55308">
        <w:rPr>
          <w:lang w:val="fr-FR"/>
        </w:rPr>
        <w:t>est consacré</w:t>
      </w:r>
      <w:r>
        <w:rPr>
          <w:lang w:val="fr-FR"/>
        </w:rPr>
        <w:t>e</w:t>
      </w:r>
      <w:r w:rsidRPr="00C55308">
        <w:rPr>
          <w:lang w:val="fr-FR"/>
        </w:rPr>
        <w:t xml:space="preserve"> à la sévérité de la peine à infliger lorsque </w:t>
      </w:r>
      <w:r>
        <w:rPr>
          <w:lang w:val="fr-FR"/>
        </w:rPr>
        <w:t>l</w:t>
      </w:r>
      <w:r w:rsidR="00BF495C">
        <w:rPr>
          <w:lang w:val="fr-FR"/>
        </w:rPr>
        <w:t>’</w:t>
      </w:r>
      <w:r>
        <w:rPr>
          <w:lang w:val="fr-FR"/>
        </w:rPr>
        <w:t>appel est interjeté seulement par l</w:t>
      </w:r>
      <w:r w:rsidR="00BF495C">
        <w:rPr>
          <w:lang w:val="fr-FR"/>
        </w:rPr>
        <w:t>’</w:t>
      </w:r>
      <w:r>
        <w:rPr>
          <w:lang w:val="fr-FR"/>
        </w:rPr>
        <w:t xml:space="preserve">accusé (voir, </w:t>
      </w:r>
      <w:r>
        <w:rPr>
          <w:i/>
          <w:lang w:val="fr-FR"/>
        </w:rPr>
        <w:t>mutatis mutandis</w:t>
      </w:r>
      <w:r>
        <w:rPr>
          <w:lang w:val="fr-FR"/>
        </w:rPr>
        <w:t xml:space="preserve">, </w:t>
      </w:r>
      <w:r>
        <w:rPr>
          <w:i/>
          <w:lang w:val="fr-FR"/>
        </w:rPr>
        <w:t>Scoppola (n</w:t>
      </w:r>
      <w:r w:rsidR="00421F1F" w:rsidRPr="00421F1F">
        <w:rPr>
          <w:i/>
          <w:vertAlign w:val="superscript"/>
          <w:lang w:val="fr-FR"/>
        </w:rPr>
        <w:t>o</w:t>
      </w:r>
      <w:r>
        <w:rPr>
          <w:i/>
          <w:lang w:val="fr-FR"/>
        </w:rPr>
        <w:t xml:space="preserve"> 2)</w:t>
      </w:r>
      <w:r>
        <w:rPr>
          <w:lang w:val="fr-FR"/>
        </w:rPr>
        <w:t xml:space="preserve">, précité, §§ 110-113, et, </w:t>
      </w:r>
      <w:r>
        <w:rPr>
          <w:i/>
          <w:lang w:val="fr-FR"/>
        </w:rPr>
        <w:t>a contrario</w:t>
      </w:r>
      <w:r>
        <w:rPr>
          <w:lang w:val="fr-FR"/>
        </w:rPr>
        <w:t xml:space="preserve">, </w:t>
      </w:r>
      <w:r>
        <w:rPr>
          <w:i/>
          <w:lang w:val="fr-FR"/>
        </w:rPr>
        <w:t>Previti c. Italie</w:t>
      </w:r>
      <w:r>
        <w:rPr>
          <w:lang w:val="fr-FR"/>
        </w:rPr>
        <w:t xml:space="preserve"> (déc.), n</w:t>
      </w:r>
      <w:r w:rsidR="00421F1F" w:rsidRPr="00421F1F">
        <w:rPr>
          <w:vertAlign w:val="superscript"/>
          <w:lang w:val="fr-FR"/>
        </w:rPr>
        <w:t>o</w:t>
      </w:r>
      <w:r>
        <w:rPr>
          <w:lang w:val="fr-FR"/>
        </w:rPr>
        <w:t xml:space="preserve"> 1845/08, §§ 78-80, 12 février 2013).</w:t>
      </w:r>
    </w:p>
    <w:p w:rsidR="005075F6" w:rsidRDefault="00F606DC" w:rsidP="005450A6">
      <w:pPr>
        <w:pStyle w:val="ECHRPara"/>
        <w:rPr>
          <w:lang w:val="fr-FR"/>
        </w:rPr>
      </w:pPr>
      <w:r>
        <w:rPr>
          <w:lang w:val="fr-FR"/>
        </w:rPr>
        <w:t>44.  La Cour note de surcroît que la disposition en question prescrit que lorsque, comme en l</w:t>
      </w:r>
      <w:r w:rsidR="00BF495C">
        <w:rPr>
          <w:lang w:val="fr-FR"/>
        </w:rPr>
        <w:t>’</w:t>
      </w:r>
      <w:r>
        <w:rPr>
          <w:lang w:val="fr-FR"/>
        </w:rPr>
        <w:t>espèce, l</w:t>
      </w:r>
      <w:r w:rsidR="00BF495C">
        <w:rPr>
          <w:lang w:val="fr-FR"/>
        </w:rPr>
        <w:t>’</w:t>
      </w:r>
      <w:r>
        <w:rPr>
          <w:lang w:val="fr-FR"/>
        </w:rPr>
        <w:t>appel est interjeté seulement par l</w:t>
      </w:r>
      <w:r w:rsidR="00BF495C">
        <w:rPr>
          <w:lang w:val="fr-FR"/>
        </w:rPr>
        <w:t>’</w:t>
      </w:r>
      <w:r>
        <w:rPr>
          <w:lang w:val="fr-FR"/>
        </w:rPr>
        <w:t>accusé, « le juge ne peut [pas] infliger une peine plus forte par type ou quantité » que celle appliquée dans le jugement attaqué. Comme le requérant l</w:t>
      </w:r>
      <w:r w:rsidR="00BF495C">
        <w:rPr>
          <w:lang w:val="fr-FR"/>
        </w:rPr>
        <w:t>’</w:t>
      </w:r>
      <w:r>
        <w:rPr>
          <w:lang w:val="fr-FR"/>
        </w:rPr>
        <w:t>a indiqué dans ses moyens de pourvoi, la Cour de cassation avait précisé que cette règle</w:t>
      </w:r>
      <w:r>
        <w:rPr>
          <w:i/>
          <w:lang w:val="fr-FR"/>
        </w:rPr>
        <w:t xml:space="preserve"> </w:t>
      </w:r>
      <w:r>
        <w:rPr>
          <w:lang w:val="fr-FR"/>
        </w:rPr>
        <w:t>s</w:t>
      </w:r>
      <w:r w:rsidR="00BF495C">
        <w:rPr>
          <w:lang w:val="fr-FR"/>
        </w:rPr>
        <w:t>’</w:t>
      </w:r>
      <w:r>
        <w:rPr>
          <w:lang w:val="fr-FR"/>
        </w:rPr>
        <w:t>appliquait aussi au procès de renvoi (paragraphe 15 ci-dessus). Cependant, comme observé par la Cour de cassation dans son arrêt du 19 mars 2013, cette même jurisprudence indiquait également que lorsque, comme en l</w:t>
      </w:r>
      <w:r w:rsidR="00BF495C">
        <w:rPr>
          <w:lang w:val="fr-FR"/>
        </w:rPr>
        <w:t>’</w:t>
      </w:r>
      <w:r>
        <w:rPr>
          <w:lang w:val="fr-FR"/>
        </w:rPr>
        <w:t>espèce, l</w:t>
      </w:r>
      <w:r w:rsidR="00BF495C">
        <w:rPr>
          <w:lang w:val="fr-FR"/>
        </w:rPr>
        <w:t>’</w:t>
      </w:r>
      <w:r>
        <w:rPr>
          <w:lang w:val="fr-FR"/>
        </w:rPr>
        <w:t>arrêt d</w:t>
      </w:r>
      <w:r w:rsidR="00BF495C">
        <w:rPr>
          <w:lang w:val="fr-FR"/>
        </w:rPr>
        <w:t>’</w:t>
      </w:r>
      <w:r>
        <w:rPr>
          <w:lang w:val="fr-FR"/>
        </w:rPr>
        <w:t>appel avait été annulé pour de raisons procédurales, l</w:t>
      </w:r>
      <w:r w:rsidR="00BF495C">
        <w:rPr>
          <w:lang w:val="fr-FR"/>
        </w:rPr>
        <w:t>’</w:t>
      </w:r>
      <w:r>
        <w:rPr>
          <w:lang w:val="fr-FR"/>
        </w:rPr>
        <w:t>article 597 §</w:t>
      </w:r>
      <w:r w:rsidR="0009064A">
        <w:rPr>
          <w:lang w:val="fr-FR"/>
        </w:rPr>
        <w:t xml:space="preserve"> </w:t>
      </w:r>
      <w:r>
        <w:rPr>
          <w:lang w:val="fr-FR"/>
        </w:rPr>
        <w:t>3 du CPP interdisait uniquement d</w:t>
      </w:r>
      <w:r w:rsidR="00BF495C">
        <w:rPr>
          <w:lang w:val="fr-FR"/>
        </w:rPr>
        <w:t>’</w:t>
      </w:r>
      <w:r>
        <w:rPr>
          <w:lang w:val="fr-FR"/>
        </w:rPr>
        <w:t xml:space="preserve">appliquer une peine plus forte que celle infligée dans le jugement de première instance (paragraphe 18 ci-dessus), soit, dans le cas du requérant, six ans </w:t>
      </w:r>
      <w:r>
        <w:rPr>
          <w:lang w:val="fr-FR"/>
        </w:rPr>
        <w:lastRenderedPageBreak/>
        <w:t>d</w:t>
      </w:r>
      <w:r w:rsidR="00BF495C">
        <w:rPr>
          <w:lang w:val="fr-FR"/>
        </w:rPr>
        <w:t>’</w:t>
      </w:r>
      <w:r>
        <w:rPr>
          <w:lang w:val="fr-FR"/>
        </w:rPr>
        <w:t>emprisonnement. Celle-ci a été précisément la sanction définitive appliquée au requérant par la juridiction de renvoi.</w:t>
      </w:r>
    </w:p>
    <w:p w:rsidR="00421F1F" w:rsidRDefault="00F606DC" w:rsidP="005450A6">
      <w:pPr>
        <w:pStyle w:val="ECHRPara"/>
        <w:rPr>
          <w:lang w:val="fr-FR"/>
        </w:rPr>
      </w:pPr>
      <w:r>
        <w:rPr>
          <w:szCs w:val="24"/>
          <w:lang w:val="fr-FR"/>
        </w:rPr>
        <w:t>45.  Aux yeux de la Cour, l</w:t>
      </w:r>
      <w:r w:rsidR="00BF495C">
        <w:rPr>
          <w:szCs w:val="24"/>
          <w:lang w:val="fr-FR"/>
        </w:rPr>
        <w:t>’</w:t>
      </w:r>
      <w:r>
        <w:rPr>
          <w:szCs w:val="24"/>
          <w:lang w:val="fr-FR"/>
        </w:rPr>
        <w:t>interprétation donnée à l</w:t>
      </w:r>
      <w:r w:rsidR="00BF495C">
        <w:rPr>
          <w:szCs w:val="24"/>
          <w:lang w:val="fr-FR"/>
        </w:rPr>
        <w:t>’</w:t>
      </w:r>
      <w:r>
        <w:rPr>
          <w:szCs w:val="24"/>
          <w:lang w:val="fr-FR"/>
        </w:rPr>
        <w:t xml:space="preserve">article 597 § 3 du CPP par la Cour de cassation </w:t>
      </w:r>
      <w:r>
        <w:rPr>
          <w:lang w:val="fr-FR"/>
        </w:rPr>
        <w:t>n</w:t>
      </w:r>
      <w:r w:rsidR="00BF495C">
        <w:rPr>
          <w:lang w:val="fr-FR"/>
        </w:rPr>
        <w:t>’</w:t>
      </w:r>
      <w:r>
        <w:rPr>
          <w:lang w:val="fr-FR"/>
        </w:rPr>
        <w:t>est pas allée au-delà du libellé de la loi et n</w:t>
      </w:r>
      <w:r w:rsidR="00BF495C">
        <w:rPr>
          <w:lang w:val="fr-FR"/>
        </w:rPr>
        <w:t>’</w:t>
      </w:r>
      <w:r>
        <w:rPr>
          <w:lang w:val="fr-FR"/>
        </w:rPr>
        <w:t>est ni extensive ni analogique. Elle n</w:t>
      </w:r>
      <w:r w:rsidR="00BF495C">
        <w:rPr>
          <w:lang w:val="fr-FR"/>
        </w:rPr>
        <w:t>’</w:t>
      </w:r>
      <w:r>
        <w:rPr>
          <w:lang w:val="fr-FR"/>
        </w:rPr>
        <w:t>est donc pas incompatible avec l</w:t>
      </w:r>
      <w:r w:rsidR="00BF495C">
        <w:rPr>
          <w:lang w:val="fr-FR"/>
        </w:rPr>
        <w:t>’</w:t>
      </w:r>
      <w:r>
        <w:rPr>
          <w:lang w:val="fr-FR"/>
        </w:rPr>
        <w:t xml:space="preserve">article 7 de la Convention (voir, </w:t>
      </w:r>
      <w:r>
        <w:rPr>
          <w:i/>
          <w:lang w:val="fr-FR"/>
        </w:rPr>
        <w:t>mutatis mutandis</w:t>
      </w:r>
      <w:r>
        <w:rPr>
          <w:lang w:val="fr-FR"/>
        </w:rPr>
        <w:t xml:space="preserve">, </w:t>
      </w:r>
      <w:r>
        <w:rPr>
          <w:i/>
          <w:lang w:val="fr-FR"/>
        </w:rPr>
        <w:t>Sampech</w:t>
      </w:r>
      <w:r>
        <w:rPr>
          <w:lang w:val="fr-FR"/>
        </w:rPr>
        <w:t>, décision précitée, §</w:t>
      </w:r>
      <w:r w:rsidR="0009064A">
        <w:rPr>
          <w:lang w:val="fr-FR"/>
        </w:rPr>
        <w:t xml:space="preserve"> </w:t>
      </w:r>
      <w:r>
        <w:rPr>
          <w:lang w:val="fr-FR"/>
        </w:rPr>
        <w:t>130). De plus, la jurisprudence litigieuse datait de 2009 et était donc antérieure au prononcé de l</w:t>
      </w:r>
      <w:r w:rsidR="00BF495C">
        <w:rPr>
          <w:lang w:val="fr-FR"/>
        </w:rPr>
        <w:t>’</w:t>
      </w:r>
      <w:r>
        <w:rPr>
          <w:lang w:val="fr-FR"/>
        </w:rPr>
        <w:t>arrêt de la juridiction de renvoi, adopté le 18 avril 2011 (paragraphe 13 ci-dessus).</w:t>
      </w:r>
    </w:p>
    <w:p w:rsidR="00F606DC" w:rsidRDefault="00F606DC" w:rsidP="005450A6">
      <w:pPr>
        <w:pStyle w:val="ECHRPara"/>
        <w:rPr>
          <w:szCs w:val="24"/>
          <w:lang w:val="fr-FR"/>
        </w:rPr>
      </w:pPr>
      <w:r>
        <w:rPr>
          <w:szCs w:val="24"/>
          <w:lang w:val="fr-FR"/>
        </w:rPr>
        <w:t>46.  </w:t>
      </w:r>
      <w:r w:rsidRPr="006963AE">
        <w:rPr>
          <w:lang w:val="fr-FR"/>
        </w:rPr>
        <w:t xml:space="preserve">Dans ces circonstances, la Cour ne saurait conclure que le requérant </w:t>
      </w:r>
      <w:r>
        <w:rPr>
          <w:lang w:val="fr-FR"/>
        </w:rPr>
        <w:t>s</w:t>
      </w:r>
      <w:r w:rsidR="00BF495C">
        <w:rPr>
          <w:lang w:val="fr-FR"/>
        </w:rPr>
        <w:t>’</w:t>
      </w:r>
      <w:r>
        <w:rPr>
          <w:lang w:val="fr-FR"/>
        </w:rPr>
        <w:t xml:space="preserve">est vu infliger une peine </w:t>
      </w:r>
      <w:r w:rsidRPr="002655D8">
        <w:rPr>
          <w:lang w:val="fr-FR"/>
        </w:rPr>
        <w:t xml:space="preserve">plus forte que </w:t>
      </w:r>
      <w:r>
        <w:rPr>
          <w:lang w:val="fr-FR"/>
        </w:rPr>
        <w:t>celle prévue par la loi</w:t>
      </w:r>
      <w:r w:rsidRPr="0005648D">
        <w:rPr>
          <w:lang w:val="fr-FR"/>
        </w:rPr>
        <w:t>.</w:t>
      </w:r>
      <w:r>
        <w:rPr>
          <w:lang w:val="fr-FR"/>
        </w:rPr>
        <w:t xml:space="preserve"> Dès lors, aucune apparence de violation </w:t>
      </w:r>
      <w:r w:rsidRPr="00CD4E5E">
        <w:rPr>
          <w:lang w:val="fr-FR"/>
        </w:rPr>
        <w:t>de l</w:t>
      </w:r>
      <w:r w:rsidR="00BF495C">
        <w:rPr>
          <w:lang w:val="fr-FR"/>
        </w:rPr>
        <w:t>’</w:t>
      </w:r>
      <w:r w:rsidRPr="00CD4E5E">
        <w:rPr>
          <w:lang w:val="fr-FR"/>
        </w:rPr>
        <w:t>article 7</w:t>
      </w:r>
      <w:r>
        <w:rPr>
          <w:lang w:val="fr-FR"/>
        </w:rPr>
        <w:t xml:space="preserve"> </w:t>
      </w:r>
      <w:r w:rsidRPr="00CD4E5E">
        <w:rPr>
          <w:lang w:val="fr-FR"/>
        </w:rPr>
        <w:t>de</w:t>
      </w:r>
      <w:r>
        <w:rPr>
          <w:lang w:val="fr-FR"/>
        </w:rPr>
        <w:t xml:space="preserve"> la Convention ne saurait être décelée en l</w:t>
      </w:r>
      <w:r w:rsidR="00BF495C">
        <w:rPr>
          <w:lang w:val="fr-FR"/>
        </w:rPr>
        <w:t>’</w:t>
      </w:r>
      <w:r>
        <w:rPr>
          <w:lang w:val="fr-FR"/>
        </w:rPr>
        <w:t>espèce.</w:t>
      </w:r>
    </w:p>
    <w:p w:rsidR="00F606DC" w:rsidRPr="002655D8" w:rsidRDefault="00F606DC" w:rsidP="005450A6">
      <w:pPr>
        <w:pStyle w:val="ECHRPara"/>
        <w:rPr>
          <w:lang w:val="fr-FR"/>
        </w:rPr>
      </w:pPr>
      <w:r>
        <w:rPr>
          <w:lang w:val="fr-FR"/>
        </w:rPr>
        <w:t>47.  </w:t>
      </w:r>
      <w:r w:rsidRPr="002655D8">
        <w:rPr>
          <w:snapToGrid w:val="0"/>
          <w:lang w:val="fr-FR"/>
        </w:rPr>
        <w:t>Il s</w:t>
      </w:r>
      <w:r w:rsidR="00BF495C">
        <w:rPr>
          <w:snapToGrid w:val="0"/>
          <w:lang w:val="fr-FR"/>
        </w:rPr>
        <w:t>’</w:t>
      </w:r>
      <w:r w:rsidRPr="002655D8">
        <w:rPr>
          <w:snapToGrid w:val="0"/>
          <w:lang w:val="fr-FR"/>
        </w:rPr>
        <w:t>ensuit que ce grief est manifestement mal fondé et doit être rejeté en application de l</w:t>
      </w:r>
      <w:r w:rsidR="00BF495C">
        <w:rPr>
          <w:snapToGrid w:val="0"/>
          <w:lang w:val="fr-FR"/>
        </w:rPr>
        <w:t>’</w:t>
      </w:r>
      <w:r w:rsidRPr="002655D8">
        <w:rPr>
          <w:snapToGrid w:val="0"/>
          <w:lang w:val="fr-FR"/>
        </w:rPr>
        <w:t>article 35 §§ 3</w:t>
      </w:r>
      <w:r w:rsidR="0009064A">
        <w:rPr>
          <w:snapToGrid w:val="0"/>
          <w:lang w:val="fr-FR"/>
        </w:rPr>
        <w:t xml:space="preserve"> </w:t>
      </w:r>
      <w:r w:rsidRPr="002655D8">
        <w:rPr>
          <w:lang w:val="fr-FR"/>
        </w:rPr>
        <w:t xml:space="preserve">a) </w:t>
      </w:r>
      <w:r w:rsidRPr="002655D8">
        <w:rPr>
          <w:snapToGrid w:val="0"/>
          <w:lang w:val="fr-FR"/>
        </w:rPr>
        <w:t>et 4 de la Convention.</w:t>
      </w:r>
    </w:p>
    <w:p w:rsidR="00F606DC" w:rsidRDefault="00F606DC" w:rsidP="005450A6">
      <w:pPr>
        <w:pStyle w:val="ECHRHeading2"/>
        <w:rPr>
          <w:lang w:val="fr-FR"/>
        </w:rPr>
      </w:pPr>
      <w:r>
        <w:rPr>
          <w:lang w:val="fr-FR"/>
        </w:rPr>
        <w:t>C.  Grief tiré des articles 5 et 13 de la Convention</w:t>
      </w:r>
    </w:p>
    <w:p w:rsidR="00F606DC" w:rsidRDefault="00F606DC" w:rsidP="005450A6">
      <w:pPr>
        <w:pStyle w:val="ECHRPara"/>
        <w:rPr>
          <w:lang w:val="fr-FR"/>
        </w:rPr>
      </w:pPr>
      <w:r>
        <w:rPr>
          <w:lang w:val="fr-FR"/>
        </w:rPr>
        <w:t xml:space="preserve">48.  Le requérant soutient que le système juridique italien ne lui garantit pas un recours effectif pour obtenir une compensation pour sa privation de liberté, selon lui illégitime. </w:t>
      </w:r>
      <w:r>
        <w:rPr>
          <w:rFonts w:cstheme="minorHAnsi"/>
          <w:lang w:val="fr-FR"/>
        </w:rPr>
        <w:t>I</w:t>
      </w:r>
      <w:r>
        <w:rPr>
          <w:lang w:val="fr-FR"/>
        </w:rPr>
        <w:t>l souligne avoir tenté toutes les voies de recours contre sa condamnation et affirme que son cas ne rentre pas parmi ceux qui, aux termes de l</w:t>
      </w:r>
      <w:r w:rsidR="00BF495C">
        <w:rPr>
          <w:lang w:val="fr-FR"/>
        </w:rPr>
        <w:t>’</w:t>
      </w:r>
      <w:r>
        <w:rPr>
          <w:lang w:val="fr-FR"/>
        </w:rPr>
        <w:t>article 314 du CPP (paragraphe 22 ci-dessus), permettent de demander la réparation pour détention injuste.</w:t>
      </w:r>
    </w:p>
    <w:p w:rsidR="00F606DC" w:rsidRDefault="00F606DC" w:rsidP="005450A6">
      <w:pPr>
        <w:pStyle w:val="ECHRPara"/>
        <w:rPr>
          <w:lang w:val="fr-FR"/>
        </w:rPr>
      </w:pPr>
      <w:r>
        <w:rPr>
          <w:lang w:val="fr-FR"/>
        </w:rPr>
        <w:t>Le requérant invoque les articles 5 et 13 de la Convention.</w:t>
      </w:r>
    </w:p>
    <w:p w:rsidR="00F606DC" w:rsidRDefault="00F606DC" w:rsidP="005450A6">
      <w:pPr>
        <w:pStyle w:val="ECHRPara"/>
        <w:rPr>
          <w:lang w:val="fr-FR"/>
        </w:rPr>
      </w:pPr>
      <w:r>
        <w:rPr>
          <w:lang w:val="fr-FR"/>
        </w:rPr>
        <w:t>Dans ses parties pertinentes, l</w:t>
      </w:r>
      <w:r w:rsidR="00BF495C">
        <w:rPr>
          <w:lang w:val="fr-FR"/>
        </w:rPr>
        <w:t>’</w:t>
      </w:r>
      <w:r>
        <w:rPr>
          <w:lang w:val="fr-FR"/>
        </w:rPr>
        <w:t>article 5 se lit comme suit :</w:t>
      </w:r>
    </w:p>
    <w:p w:rsidR="00F606DC" w:rsidRPr="002655D8" w:rsidRDefault="00F606DC" w:rsidP="005450A6">
      <w:pPr>
        <w:pStyle w:val="ECHRParaQuote"/>
        <w:rPr>
          <w:lang w:val="fr-FR"/>
        </w:rPr>
      </w:pPr>
      <w:r w:rsidRPr="002655D8">
        <w:rPr>
          <w:lang w:val="fr-FR"/>
        </w:rPr>
        <w:t>« 1.  Toute personne a droit à la liberté et à la sûreté. Nul ne peut être privé de sa liberté, sauf dans les cas suivants et selon les voies légales :</w:t>
      </w:r>
    </w:p>
    <w:p w:rsidR="00F606DC" w:rsidRPr="002655D8" w:rsidRDefault="00F606DC" w:rsidP="005450A6">
      <w:pPr>
        <w:pStyle w:val="ECHRParaQuote"/>
        <w:rPr>
          <w:lang w:val="fr-FR"/>
        </w:rPr>
      </w:pPr>
      <w:r w:rsidRPr="002655D8">
        <w:rPr>
          <w:lang w:val="fr-FR"/>
        </w:rPr>
        <w:t>a)  s</w:t>
      </w:r>
      <w:r w:rsidR="00BF495C">
        <w:rPr>
          <w:lang w:val="fr-FR"/>
        </w:rPr>
        <w:t>’</w:t>
      </w:r>
      <w:r w:rsidRPr="002655D8">
        <w:rPr>
          <w:lang w:val="fr-FR"/>
        </w:rPr>
        <w:t>il est détenu régulièrement après condamnation par un tribunal compétent ;</w:t>
      </w:r>
    </w:p>
    <w:p w:rsidR="00F606DC" w:rsidRPr="002655D8" w:rsidRDefault="00F606DC" w:rsidP="005450A6">
      <w:pPr>
        <w:pStyle w:val="ECHRParaQuote"/>
        <w:rPr>
          <w:lang w:val="fr-FR"/>
        </w:rPr>
      </w:pPr>
      <w:r>
        <w:rPr>
          <w:lang w:val="fr-FR"/>
        </w:rPr>
        <w:t>(</w:t>
      </w:r>
      <w:r w:rsidR="00421F1F">
        <w:rPr>
          <w:lang w:val="fr-FR"/>
        </w:rPr>
        <w:t>...</w:t>
      </w:r>
      <w:r>
        <w:rPr>
          <w:lang w:val="fr-FR"/>
        </w:rPr>
        <w:t>)</w:t>
      </w:r>
      <w:r w:rsidRPr="002655D8">
        <w:rPr>
          <w:lang w:val="fr-FR"/>
        </w:rPr>
        <w:t>.</w:t>
      </w:r>
    </w:p>
    <w:p w:rsidR="00F606DC" w:rsidRPr="002655D8" w:rsidRDefault="00F606DC" w:rsidP="005450A6">
      <w:pPr>
        <w:pStyle w:val="ECHRParaQuote"/>
        <w:rPr>
          <w:lang w:val="fr-FR"/>
        </w:rPr>
      </w:pPr>
      <w:r w:rsidRPr="002655D8">
        <w:rPr>
          <w:lang w:val="fr-FR"/>
        </w:rPr>
        <w:t>5.  Toute personne victime d</w:t>
      </w:r>
      <w:r w:rsidR="00BF495C">
        <w:rPr>
          <w:lang w:val="fr-FR"/>
        </w:rPr>
        <w:t>’</w:t>
      </w:r>
      <w:r w:rsidRPr="002655D8">
        <w:rPr>
          <w:lang w:val="fr-FR"/>
        </w:rPr>
        <w:t>une arrestation ou d</w:t>
      </w:r>
      <w:r w:rsidR="00BF495C">
        <w:rPr>
          <w:lang w:val="fr-FR"/>
        </w:rPr>
        <w:t>’</w:t>
      </w:r>
      <w:r w:rsidRPr="002655D8">
        <w:rPr>
          <w:lang w:val="fr-FR"/>
        </w:rPr>
        <w:t>une détention dans des conditions contraires aux dispositions de cet article a droit à réparation. »</w:t>
      </w:r>
    </w:p>
    <w:p w:rsidR="00F606DC" w:rsidRDefault="00F606DC" w:rsidP="005450A6">
      <w:pPr>
        <w:pStyle w:val="ECHRPara"/>
        <w:rPr>
          <w:lang w:val="fr-FR"/>
        </w:rPr>
      </w:pPr>
      <w:r>
        <w:rPr>
          <w:lang w:val="fr-FR"/>
        </w:rPr>
        <w:t>L</w:t>
      </w:r>
      <w:r w:rsidR="00BF495C">
        <w:rPr>
          <w:lang w:val="fr-FR"/>
        </w:rPr>
        <w:t>’</w:t>
      </w:r>
      <w:r>
        <w:rPr>
          <w:lang w:val="fr-FR"/>
        </w:rPr>
        <w:t>article 13 est ainsi libellé :</w:t>
      </w:r>
    </w:p>
    <w:p w:rsidR="00F606DC" w:rsidRDefault="00F606DC" w:rsidP="005450A6">
      <w:pPr>
        <w:pStyle w:val="ECHRParaQuote"/>
        <w:rPr>
          <w:lang w:val="fr-FR"/>
        </w:rPr>
      </w:pPr>
      <w:r w:rsidRPr="002655D8">
        <w:rPr>
          <w:lang w:val="fr-FR"/>
        </w:rPr>
        <w:t>« Toute personne dont les droits et libertés reconnus dans la (...) Convention ont été violés, a droit à l</w:t>
      </w:r>
      <w:r w:rsidR="00BF495C">
        <w:rPr>
          <w:lang w:val="fr-FR"/>
        </w:rPr>
        <w:t>’</w:t>
      </w:r>
      <w:r w:rsidRPr="002655D8">
        <w:rPr>
          <w:lang w:val="fr-FR"/>
        </w:rPr>
        <w:t>octroi d</w:t>
      </w:r>
      <w:r w:rsidR="00BF495C">
        <w:rPr>
          <w:lang w:val="fr-FR"/>
        </w:rPr>
        <w:t>’</w:t>
      </w:r>
      <w:r w:rsidRPr="002655D8">
        <w:rPr>
          <w:lang w:val="fr-FR"/>
        </w:rPr>
        <w:t>un recours effectif devant une instance nationale, alors même que la violation aurait été commise par des personnes agissant dans l</w:t>
      </w:r>
      <w:r w:rsidR="00BF495C">
        <w:rPr>
          <w:lang w:val="fr-FR"/>
        </w:rPr>
        <w:t>’</w:t>
      </w:r>
      <w:r w:rsidRPr="002655D8">
        <w:rPr>
          <w:lang w:val="fr-FR"/>
        </w:rPr>
        <w:t>exercice de leurs fonctions officielles. »</w:t>
      </w:r>
    </w:p>
    <w:p w:rsidR="00421F1F" w:rsidRDefault="00F606DC" w:rsidP="005450A6">
      <w:pPr>
        <w:pStyle w:val="JuParaSub"/>
        <w:ind w:left="0"/>
        <w:rPr>
          <w:lang w:val="fr-FR"/>
        </w:rPr>
      </w:pPr>
      <w:r>
        <w:rPr>
          <w:lang w:val="fr-FR"/>
        </w:rPr>
        <w:t>49.  La Cour vient de conclure que la condamnation du requérant a été prononcée à la suite d</w:t>
      </w:r>
      <w:r w:rsidR="00BF495C">
        <w:rPr>
          <w:lang w:val="fr-FR"/>
        </w:rPr>
        <w:t>’</w:t>
      </w:r>
      <w:r>
        <w:rPr>
          <w:lang w:val="fr-FR"/>
        </w:rPr>
        <w:t>un procès conforme aux exigences de l</w:t>
      </w:r>
      <w:r w:rsidR="00BF495C">
        <w:rPr>
          <w:lang w:val="fr-FR"/>
        </w:rPr>
        <w:t>’</w:t>
      </w:r>
      <w:r>
        <w:rPr>
          <w:lang w:val="fr-FR"/>
        </w:rPr>
        <w:t xml:space="preserve">article 6 de la Convention et que la peine </w:t>
      </w:r>
      <w:r w:rsidRPr="002655D8">
        <w:rPr>
          <w:lang w:val="fr-FR"/>
        </w:rPr>
        <w:t>infligé</w:t>
      </w:r>
      <w:r>
        <w:rPr>
          <w:lang w:val="fr-FR"/>
        </w:rPr>
        <w:t>e</w:t>
      </w:r>
      <w:r w:rsidRPr="002655D8">
        <w:rPr>
          <w:lang w:val="fr-FR"/>
        </w:rPr>
        <w:t xml:space="preserve"> </w:t>
      </w:r>
      <w:r>
        <w:rPr>
          <w:lang w:val="fr-FR"/>
        </w:rPr>
        <w:t>n</w:t>
      </w:r>
      <w:r w:rsidR="00BF495C">
        <w:rPr>
          <w:lang w:val="fr-FR"/>
        </w:rPr>
        <w:t>’</w:t>
      </w:r>
      <w:r>
        <w:rPr>
          <w:lang w:val="fr-FR"/>
        </w:rPr>
        <w:t>était pas</w:t>
      </w:r>
      <w:r w:rsidRPr="002655D8">
        <w:rPr>
          <w:lang w:val="fr-FR"/>
        </w:rPr>
        <w:t xml:space="preserve"> plus forte que celle </w:t>
      </w:r>
      <w:r>
        <w:rPr>
          <w:lang w:val="fr-FR"/>
        </w:rPr>
        <w:t>prévue par la loi. Dans ces circonstances, la privation de liberté du requérant ne saurait passer pour illégale ou arbitraire et s</w:t>
      </w:r>
      <w:r w:rsidR="00BF495C">
        <w:rPr>
          <w:lang w:val="fr-FR"/>
        </w:rPr>
        <w:t>’</w:t>
      </w:r>
      <w:r>
        <w:rPr>
          <w:lang w:val="fr-FR"/>
        </w:rPr>
        <w:t xml:space="preserve">analyse en une détention </w:t>
      </w:r>
      <w:r>
        <w:rPr>
          <w:lang w:val="fr-FR"/>
        </w:rPr>
        <w:lastRenderedPageBreak/>
        <w:t>régulière « après condamnation par un tribunal compétent » aux sens de l</w:t>
      </w:r>
      <w:r w:rsidR="00BF495C">
        <w:rPr>
          <w:lang w:val="fr-FR"/>
        </w:rPr>
        <w:t>’</w:t>
      </w:r>
      <w:r>
        <w:rPr>
          <w:lang w:val="fr-FR"/>
        </w:rPr>
        <w:t>article 5 § 1 a) de la Convention. Dès lors aucune apparence de violation de cette disposition ne saurait être décelée en l</w:t>
      </w:r>
      <w:r w:rsidR="00BF495C">
        <w:rPr>
          <w:lang w:val="fr-FR"/>
        </w:rPr>
        <w:t>’</w:t>
      </w:r>
      <w:r>
        <w:rPr>
          <w:lang w:val="fr-FR"/>
        </w:rPr>
        <w:t>espèce. Le requérant n</w:t>
      </w:r>
      <w:r w:rsidR="00BF495C">
        <w:rPr>
          <w:lang w:val="fr-FR"/>
        </w:rPr>
        <w:t>’</w:t>
      </w:r>
      <w:r>
        <w:rPr>
          <w:lang w:val="fr-FR"/>
        </w:rPr>
        <w:t>est donc pas titulaire d</w:t>
      </w:r>
      <w:r w:rsidR="00BF495C">
        <w:rPr>
          <w:lang w:val="fr-FR"/>
        </w:rPr>
        <w:t>’</w:t>
      </w:r>
      <w:r>
        <w:rPr>
          <w:lang w:val="fr-FR"/>
        </w:rPr>
        <w:t>un droit à compensation aux termes du paragraphe 5 de l</w:t>
      </w:r>
      <w:r w:rsidR="00BF495C">
        <w:rPr>
          <w:lang w:val="fr-FR"/>
        </w:rPr>
        <w:t>’</w:t>
      </w:r>
      <w:r>
        <w:rPr>
          <w:lang w:val="fr-FR"/>
        </w:rPr>
        <w:t>article 5, qui suppose qu</w:t>
      </w:r>
      <w:r w:rsidR="00BF495C">
        <w:rPr>
          <w:lang w:val="fr-FR"/>
        </w:rPr>
        <w:t>’</w:t>
      </w:r>
      <w:r>
        <w:rPr>
          <w:lang w:val="fr-FR"/>
        </w:rPr>
        <w:t>une violation de l</w:t>
      </w:r>
      <w:r w:rsidR="00BF495C">
        <w:rPr>
          <w:lang w:val="fr-FR"/>
        </w:rPr>
        <w:t>’</w:t>
      </w:r>
      <w:r>
        <w:rPr>
          <w:lang w:val="fr-FR"/>
        </w:rPr>
        <w:t>un des autres paragraphes de la même disposition ait été établie par une autorité nationale ou par les institutions de la Convention (</w:t>
      </w:r>
      <w:r w:rsidRPr="00E56C39">
        <w:rPr>
          <w:i/>
          <w:lang w:val="fr-FR"/>
        </w:rPr>
        <w:t>N.C. c. Italie</w:t>
      </w:r>
      <w:r>
        <w:rPr>
          <w:lang w:val="fr-FR"/>
        </w:rPr>
        <w:t>, précité, § 49).</w:t>
      </w:r>
    </w:p>
    <w:p w:rsidR="00421F1F" w:rsidRDefault="00F606DC" w:rsidP="005450A6">
      <w:pPr>
        <w:pStyle w:val="JuParaSub"/>
        <w:ind w:left="0"/>
        <w:rPr>
          <w:lang w:val="fr-FR"/>
        </w:rPr>
      </w:pPr>
      <w:r>
        <w:rPr>
          <w:lang w:val="fr-FR"/>
        </w:rPr>
        <w:t>50.  </w:t>
      </w:r>
      <w:r w:rsidRPr="00BB2499">
        <w:rPr>
          <w:lang w:val="fr-FR"/>
        </w:rPr>
        <w:t xml:space="preserve">Enfin, la Cour rappelle </w:t>
      </w:r>
      <w:r w:rsidRPr="00BB2499">
        <w:rPr>
          <w:color w:val="000000"/>
          <w:szCs w:val="24"/>
          <w:lang w:val="fr-FR"/>
        </w:rPr>
        <w:t>que l</w:t>
      </w:r>
      <w:r w:rsidR="00BF495C">
        <w:rPr>
          <w:color w:val="000000"/>
          <w:szCs w:val="24"/>
          <w:lang w:val="fr-FR"/>
        </w:rPr>
        <w:t>’</w:t>
      </w:r>
      <w:r w:rsidRPr="00BB2499">
        <w:rPr>
          <w:color w:val="000000"/>
          <w:szCs w:val="24"/>
          <w:lang w:val="fr-FR"/>
        </w:rPr>
        <w:t>article</w:t>
      </w:r>
      <w:r w:rsidRPr="00BB2499">
        <w:rPr>
          <w:lang w:val="fr-FR"/>
        </w:rPr>
        <w:t xml:space="preserve"> 5 § 5 </w:t>
      </w:r>
      <w:r>
        <w:rPr>
          <w:lang w:val="fr-FR"/>
        </w:rPr>
        <w:t>constitue une</w:t>
      </w:r>
      <w:r w:rsidRPr="00BB2499">
        <w:rPr>
          <w:lang w:val="fr-FR"/>
        </w:rPr>
        <w:t xml:space="preserve"> </w:t>
      </w:r>
      <w:r w:rsidRPr="00BB2499">
        <w:rPr>
          <w:i/>
          <w:lang w:val="fr-FR"/>
        </w:rPr>
        <w:t xml:space="preserve">lex specialis </w:t>
      </w:r>
      <w:r>
        <w:rPr>
          <w:lang w:val="fr-FR"/>
        </w:rPr>
        <w:t>par rapport aux exigences plus générales de l</w:t>
      </w:r>
      <w:r w:rsidR="00BF495C">
        <w:rPr>
          <w:lang w:val="fr-FR"/>
        </w:rPr>
        <w:t>’</w:t>
      </w:r>
      <w:r>
        <w:rPr>
          <w:lang w:val="fr-FR"/>
        </w:rPr>
        <w:t>article 13</w:t>
      </w:r>
      <w:r w:rsidRPr="00BB2499">
        <w:rPr>
          <w:lang w:val="fr-FR"/>
        </w:rPr>
        <w:t xml:space="preserve"> (</w:t>
      </w:r>
      <w:r w:rsidRPr="00BB2499">
        <w:rPr>
          <w:i/>
          <w:lang w:val="fr-FR"/>
        </w:rPr>
        <w:t xml:space="preserve">Tsirlis </w:t>
      </w:r>
      <w:r>
        <w:rPr>
          <w:i/>
          <w:lang w:val="fr-FR"/>
        </w:rPr>
        <w:t>et</w:t>
      </w:r>
      <w:r w:rsidRPr="00BB2499">
        <w:rPr>
          <w:i/>
          <w:lang w:val="fr-FR"/>
        </w:rPr>
        <w:t xml:space="preserve"> Kouloumpas </w:t>
      </w:r>
      <w:r>
        <w:rPr>
          <w:i/>
          <w:lang w:val="fr-FR"/>
        </w:rPr>
        <w:t>c</w:t>
      </w:r>
      <w:r w:rsidRPr="00BB2499">
        <w:rPr>
          <w:i/>
          <w:lang w:val="fr-FR"/>
        </w:rPr>
        <w:t>. Gr</w:t>
      </w:r>
      <w:r>
        <w:rPr>
          <w:i/>
          <w:lang w:val="fr-FR"/>
        </w:rPr>
        <w:t>è</w:t>
      </w:r>
      <w:r w:rsidRPr="00BB2499">
        <w:rPr>
          <w:i/>
          <w:lang w:val="fr-FR"/>
        </w:rPr>
        <w:t>ce</w:t>
      </w:r>
      <w:r w:rsidRPr="00BB2499">
        <w:rPr>
          <w:lang w:val="fr-FR"/>
        </w:rPr>
        <w:t xml:space="preserve">, 29 </w:t>
      </w:r>
      <w:r>
        <w:rPr>
          <w:lang w:val="fr-FR"/>
        </w:rPr>
        <w:t>mai</w:t>
      </w:r>
      <w:r w:rsidRPr="00BB2499">
        <w:rPr>
          <w:lang w:val="fr-FR"/>
        </w:rPr>
        <w:t xml:space="preserve"> 1997, </w:t>
      </w:r>
      <w:r>
        <w:rPr>
          <w:lang w:val="fr-FR"/>
        </w:rPr>
        <w:t xml:space="preserve">§ 73, </w:t>
      </w:r>
      <w:r w:rsidRPr="00BB2499">
        <w:rPr>
          <w:i/>
          <w:lang w:val="fr-FR"/>
        </w:rPr>
        <w:t>Re</w:t>
      </w:r>
      <w:r>
        <w:rPr>
          <w:i/>
          <w:lang w:val="fr-FR"/>
        </w:rPr>
        <w:t xml:space="preserve">cueil </w:t>
      </w:r>
      <w:r w:rsidRPr="00BB2499">
        <w:rPr>
          <w:lang w:val="fr-FR"/>
        </w:rPr>
        <w:t>1997</w:t>
      </w:r>
      <w:r w:rsidRPr="00BB2499">
        <w:rPr>
          <w:lang w:val="fr-FR"/>
        </w:rPr>
        <w:noBreakHyphen/>
        <w:t>III</w:t>
      </w:r>
      <w:r>
        <w:rPr>
          <w:lang w:val="fr-FR"/>
        </w:rPr>
        <w:t xml:space="preserve">, et </w:t>
      </w:r>
      <w:r w:rsidR="005075F6">
        <w:rPr>
          <w:i/>
          <w:lang w:val="fr-FR"/>
        </w:rPr>
        <w:t>Andrei </w:t>
      </w:r>
      <w:r w:rsidRPr="00BB2499">
        <w:rPr>
          <w:i/>
          <w:lang w:val="fr-FR"/>
        </w:rPr>
        <w:t>Georgiev c. Bulgarie</w:t>
      </w:r>
      <w:r>
        <w:rPr>
          <w:lang w:val="fr-FR"/>
        </w:rPr>
        <w:t>, n</w:t>
      </w:r>
      <w:r w:rsidR="00421F1F" w:rsidRPr="00421F1F">
        <w:rPr>
          <w:vertAlign w:val="superscript"/>
          <w:lang w:val="fr-FR"/>
        </w:rPr>
        <w:t>o</w:t>
      </w:r>
      <w:r>
        <w:rPr>
          <w:lang w:val="fr-FR"/>
        </w:rPr>
        <w:t xml:space="preserve"> </w:t>
      </w:r>
      <w:r w:rsidRPr="00BB2499">
        <w:rPr>
          <w:lang w:val="fr-FR"/>
        </w:rPr>
        <w:t>61507/00</w:t>
      </w:r>
      <w:r>
        <w:rPr>
          <w:lang w:val="fr-FR"/>
        </w:rPr>
        <w:t>, § 70, 26 juillet 2007</w:t>
      </w:r>
      <w:r w:rsidRPr="00BB2499">
        <w:rPr>
          <w:lang w:val="fr-FR"/>
        </w:rPr>
        <w:t>)</w:t>
      </w:r>
      <w:r>
        <w:rPr>
          <w:lang w:val="fr-FR"/>
        </w:rPr>
        <w:t>. Il n</w:t>
      </w:r>
      <w:r w:rsidR="00BF495C">
        <w:rPr>
          <w:lang w:val="fr-FR"/>
        </w:rPr>
        <w:t>’</w:t>
      </w:r>
      <w:r>
        <w:rPr>
          <w:lang w:val="fr-FR"/>
        </w:rPr>
        <w:t xml:space="preserve">est donc pas </w:t>
      </w:r>
      <w:r w:rsidRPr="00BB2499">
        <w:rPr>
          <w:lang w:val="fr-FR"/>
        </w:rPr>
        <w:t>nécessaire d</w:t>
      </w:r>
      <w:r w:rsidR="00BF495C">
        <w:rPr>
          <w:lang w:val="fr-FR"/>
        </w:rPr>
        <w:t>’</w:t>
      </w:r>
      <w:r w:rsidRPr="00BB2499">
        <w:rPr>
          <w:lang w:val="fr-FR"/>
        </w:rPr>
        <w:t>examiner l</w:t>
      </w:r>
      <w:r w:rsidR="00BF495C">
        <w:rPr>
          <w:lang w:val="fr-FR"/>
        </w:rPr>
        <w:t>’</w:t>
      </w:r>
      <w:r w:rsidRPr="00BB2499">
        <w:rPr>
          <w:lang w:val="fr-FR"/>
        </w:rPr>
        <w:t xml:space="preserve">affaire </w:t>
      </w:r>
      <w:r>
        <w:rPr>
          <w:lang w:val="fr-FR"/>
        </w:rPr>
        <w:t xml:space="preserve">également </w:t>
      </w:r>
      <w:r w:rsidRPr="00BB2499">
        <w:rPr>
          <w:lang w:val="fr-FR"/>
        </w:rPr>
        <w:t>sous l</w:t>
      </w:r>
      <w:r w:rsidR="00BF495C">
        <w:rPr>
          <w:lang w:val="fr-FR"/>
        </w:rPr>
        <w:t>’</w:t>
      </w:r>
      <w:r w:rsidRPr="00BB2499">
        <w:rPr>
          <w:lang w:val="fr-FR"/>
        </w:rPr>
        <w:t xml:space="preserve">angle de </w:t>
      </w:r>
      <w:r>
        <w:rPr>
          <w:lang w:val="fr-FR"/>
        </w:rPr>
        <w:t>cette dernière disposition.</w:t>
      </w:r>
    </w:p>
    <w:p w:rsidR="00F606DC" w:rsidRDefault="00F606DC" w:rsidP="005450A6">
      <w:pPr>
        <w:pStyle w:val="ECHRPara"/>
        <w:rPr>
          <w:snapToGrid w:val="0"/>
          <w:lang w:val="fr-FR"/>
        </w:rPr>
      </w:pPr>
      <w:r>
        <w:rPr>
          <w:snapToGrid w:val="0"/>
          <w:lang w:val="fr-FR"/>
        </w:rPr>
        <w:t>51.  </w:t>
      </w:r>
      <w:r w:rsidRPr="00E56C39">
        <w:rPr>
          <w:snapToGrid w:val="0"/>
          <w:lang w:val="fr-FR"/>
        </w:rPr>
        <w:t>Il s</w:t>
      </w:r>
      <w:r w:rsidR="00BF495C">
        <w:rPr>
          <w:snapToGrid w:val="0"/>
          <w:lang w:val="fr-FR"/>
        </w:rPr>
        <w:t>’</w:t>
      </w:r>
      <w:r w:rsidRPr="00E56C39">
        <w:rPr>
          <w:snapToGrid w:val="0"/>
          <w:lang w:val="fr-FR"/>
        </w:rPr>
        <w:t>ensuit que ce grief est manifestement mal fondé et doit être rejeté en application de l</w:t>
      </w:r>
      <w:r w:rsidR="00BF495C">
        <w:rPr>
          <w:snapToGrid w:val="0"/>
          <w:lang w:val="fr-FR"/>
        </w:rPr>
        <w:t>’</w:t>
      </w:r>
      <w:r w:rsidRPr="00E56C39">
        <w:rPr>
          <w:snapToGrid w:val="0"/>
          <w:lang w:val="fr-FR"/>
        </w:rPr>
        <w:t>article 35 §§ 3 </w:t>
      </w:r>
      <w:r w:rsidRPr="00E56C39">
        <w:rPr>
          <w:lang w:val="fr-FR"/>
        </w:rPr>
        <w:t xml:space="preserve">a) </w:t>
      </w:r>
      <w:r w:rsidRPr="00E56C39">
        <w:rPr>
          <w:snapToGrid w:val="0"/>
          <w:lang w:val="fr-FR"/>
        </w:rPr>
        <w:t>et 4 de la Convention.</w:t>
      </w:r>
    </w:p>
    <w:p w:rsidR="00421F1F" w:rsidRDefault="00F606DC" w:rsidP="00BF495C">
      <w:pPr>
        <w:pStyle w:val="JuParaLast"/>
        <w:rPr>
          <w:lang w:val="fr-FR"/>
        </w:rPr>
      </w:pPr>
      <w:r w:rsidRPr="0072720E">
        <w:rPr>
          <w:lang w:val="fr-FR"/>
        </w:rPr>
        <w:t>Par ces motifs, la Cour, à l</w:t>
      </w:r>
      <w:r w:rsidR="00BF495C">
        <w:rPr>
          <w:lang w:val="fr-FR"/>
        </w:rPr>
        <w:t>’</w:t>
      </w:r>
      <w:r w:rsidRPr="0072720E">
        <w:rPr>
          <w:lang w:val="fr-FR"/>
        </w:rPr>
        <w:t>unanimité,</w:t>
      </w:r>
    </w:p>
    <w:p w:rsidR="00F606DC" w:rsidRPr="0072720E" w:rsidRDefault="00F606DC" w:rsidP="005450A6">
      <w:pPr>
        <w:pStyle w:val="DecList"/>
        <w:rPr>
          <w:lang w:val="fr-FR"/>
        </w:rPr>
      </w:pPr>
      <w:r w:rsidRPr="0072720E">
        <w:rPr>
          <w:i/>
          <w:lang w:val="fr-FR"/>
        </w:rPr>
        <w:t xml:space="preserve">Déclare </w:t>
      </w:r>
      <w:r w:rsidRPr="0072720E">
        <w:rPr>
          <w:lang w:val="fr-FR"/>
        </w:rPr>
        <w:t>la requête irrecevable.</w:t>
      </w:r>
    </w:p>
    <w:p w:rsidR="006544C4" w:rsidRPr="00AD4F05" w:rsidRDefault="006544C4" w:rsidP="004047FE">
      <w:pPr>
        <w:pStyle w:val="ECHRPara"/>
        <w:rPr>
          <w:sz w:val="2"/>
          <w:szCs w:val="2"/>
          <w:lang w:val="fr-FR" w:eastAsia="en-GB"/>
        </w:rPr>
      </w:pPr>
    </w:p>
    <w:p w:rsidR="006F19B0" w:rsidRPr="00AD4F05" w:rsidRDefault="00F40988" w:rsidP="00BF495C">
      <w:pPr>
        <w:pStyle w:val="JuParaLast"/>
        <w:rPr>
          <w:lang w:val="fr-FR"/>
        </w:rPr>
      </w:pPr>
      <w:r w:rsidRPr="00AD4F05">
        <w:rPr>
          <w:lang w:val="fr-FR"/>
        </w:rPr>
        <w:t xml:space="preserve">Fait en français puis communiqué par écrit le </w:t>
      </w:r>
      <w:r w:rsidR="00F606DC">
        <w:rPr>
          <w:lang w:val="fr-FR"/>
        </w:rPr>
        <w:t>24 septembre 2015</w:t>
      </w:r>
      <w:r w:rsidRPr="00AD4F05">
        <w:rPr>
          <w:lang w:val="fr-FR"/>
        </w:rPr>
        <w:t>.</w:t>
      </w:r>
    </w:p>
    <w:p w:rsidR="00234E8A" w:rsidRPr="00AD4F05" w:rsidRDefault="00F606DC" w:rsidP="0009064A">
      <w:pPr>
        <w:pStyle w:val="JuSigned"/>
        <w:rPr>
          <w:lang w:val="fr-FR"/>
        </w:rPr>
      </w:pPr>
      <w:r w:rsidRPr="00AD4F05">
        <w:rPr>
          <w:lang w:val="fr-FR"/>
        </w:rPr>
        <w:tab/>
      </w:r>
      <w:r w:rsidR="00421F1F" w:rsidRPr="00421F1F">
        <w:rPr>
          <w:rStyle w:val="JuJudgesChar"/>
          <w:szCs w:val="24"/>
          <w:lang w:val="fr-FR"/>
        </w:rPr>
        <w:t>Fatoş Aracı</w:t>
      </w:r>
      <w:r w:rsidR="006544C4" w:rsidRPr="00AD4F05">
        <w:rPr>
          <w:lang w:val="fr-FR"/>
        </w:rPr>
        <w:tab/>
      </w:r>
      <w:r>
        <w:rPr>
          <w:lang w:val="fr-FR"/>
        </w:rPr>
        <w:t>Päivi</w:t>
      </w:r>
      <w:r w:rsidRPr="00AD4F05">
        <w:rPr>
          <w:lang w:val="fr-FR"/>
        </w:rPr>
        <w:t xml:space="preserve"> </w:t>
      </w:r>
      <w:r>
        <w:rPr>
          <w:lang w:val="fr-FR"/>
        </w:rPr>
        <w:t>Hirvelä</w:t>
      </w:r>
      <w:r w:rsidR="006544C4" w:rsidRPr="00AD4F05">
        <w:rPr>
          <w:lang w:val="fr-FR"/>
        </w:rPr>
        <w:br/>
      </w:r>
      <w:r w:rsidR="006544C4" w:rsidRPr="00AD4F05">
        <w:rPr>
          <w:lang w:val="fr-FR"/>
        </w:rPr>
        <w:tab/>
      </w:r>
      <w:r>
        <w:rPr>
          <w:lang w:val="fr-FR"/>
        </w:rPr>
        <w:t>Greffière</w:t>
      </w:r>
      <w:r w:rsidR="00421F1F">
        <w:rPr>
          <w:lang w:val="fr-FR"/>
        </w:rPr>
        <w:t xml:space="preserve"> adjointe</w:t>
      </w:r>
      <w:r w:rsidR="006544C4" w:rsidRPr="00AD4F05">
        <w:rPr>
          <w:lang w:val="fr-FR"/>
        </w:rPr>
        <w:tab/>
      </w:r>
      <w:r w:rsidRPr="00AD4F05">
        <w:rPr>
          <w:lang w:val="fr-FR"/>
        </w:rPr>
        <w:t>Présidente</w:t>
      </w:r>
    </w:p>
    <w:sectPr w:rsidR="00234E8A" w:rsidRPr="00AD4F05"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CB2" w:rsidRDefault="00872CB2" w:rsidP="006544C4">
      <w:r>
        <w:separator/>
      </w:r>
    </w:p>
  </w:endnote>
  <w:endnote w:type="continuationSeparator" w:id="0">
    <w:p w:rsidR="00872CB2" w:rsidRDefault="00872CB2"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0A6" w:rsidRPr="00150BFA" w:rsidRDefault="005450A6" w:rsidP="005450A6">
    <w:pPr>
      <w:jc w:val="center"/>
    </w:pPr>
    <w:r>
      <w:rPr>
        <w:noProof/>
        <w:lang w:val="it-IT" w:eastAsia="it-IT"/>
      </w:rPr>
      <w:drawing>
        <wp:inline distT="0" distB="0" distL="0" distR="0" wp14:anchorId="4507289A" wp14:editId="3EAD727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450A6" w:rsidRPr="00633A19" w:rsidRDefault="005450A6" w:rsidP="005450A6">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CB2" w:rsidRDefault="00872CB2" w:rsidP="006544C4">
      <w:r>
        <w:separator/>
      </w:r>
    </w:p>
  </w:footnote>
  <w:footnote w:type="continuationSeparator" w:id="0">
    <w:p w:rsidR="00872CB2" w:rsidRDefault="00872CB2"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A50" w:rsidRPr="00BF495C" w:rsidRDefault="005450A6" w:rsidP="00BF495C">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7E6838">
      <w:rPr>
        <w:rStyle w:val="Numeropagina"/>
        <w:noProof/>
        <w:lang w:val="en-GB"/>
      </w:rPr>
      <w:t>2</w:t>
    </w:r>
    <w:r>
      <w:rPr>
        <w:rStyle w:val="Numeropagina"/>
        <w:lang w:val="en-GB"/>
      </w:rPr>
      <w:fldChar w:fldCharType="end"/>
    </w:r>
    <w:r w:rsidRPr="000D527F">
      <w:rPr>
        <w:lang w:val="en-GB"/>
      </w:rPr>
      <w:tab/>
      <w:t xml:space="preserve">DÉCISION </w:t>
    </w:r>
    <w:r>
      <w:rPr>
        <w:lang w:val="en-GB"/>
      </w:rPr>
      <w:t>GRECO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0A6" w:rsidRPr="000D527F" w:rsidRDefault="005450A6" w:rsidP="006544C4">
    <w:pPr>
      <w:pStyle w:val="ECHRHeader"/>
      <w:rPr>
        <w:lang w:val="en-GB"/>
      </w:rPr>
    </w:pPr>
    <w:r>
      <w:tab/>
    </w:r>
    <w:r w:rsidRPr="000D527F">
      <w:rPr>
        <w:lang w:val="en-GB"/>
      </w:rPr>
      <w:t xml:space="preserve">DÉCISION </w:t>
    </w:r>
    <w:r>
      <w:rPr>
        <w:lang w:val="en-GB"/>
      </w:rPr>
      <w:t>GRECO c. ITALIE</w:t>
    </w:r>
    <w:r w:rsidRPr="000D527F">
      <w:rPr>
        <w:lang w:val="en-GB"/>
      </w:rPr>
      <w:tab/>
    </w: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7E6838">
      <w:rPr>
        <w:rStyle w:val="Numeropagina"/>
        <w:noProof/>
        <w:lang w:val="en-GB"/>
      </w:rPr>
      <w:t>11</w:t>
    </w:r>
    <w:r>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0A6" w:rsidRPr="00A45145" w:rsidRDefault="005450A6" w:rsidP="005450A6">
    <w:pPr>
      <w:jc w:val="center"/>
    </w:pPr>
    <w:r>
      <w:rPr>
        <w:noProof/>
        <w:lang w:val="it-IT" w:eastAsia="it-IT"/>
      </w:rPr>
      <w:drawing>
        <wp:inline distT="0" distB="0" distL="0" distR="0" wp14:anchorId="6F42A186" wp14:editId="6A3B938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450A6" w:rsidRDefault="005450A6" w:rsidP="005450A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0"/>
  </w:num>
  <w:num w:numId="4">
    <w:abstractNumId w:val="11"/>
  </w:num>
  <w:num w:numId="5">
    <w:abstractNumId w:val="13"/>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F606DC"/>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064A"/>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1F1F"/>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075F6"/>
    <w:rsid w:val="00511C07"/>
    <w:rsid w:val="005173A6"/>
    <w:rsid w:val="00520BAA"/>
    <w:rsid w:val="00525208"/>
    <w:rsid w:val="005257A5"/>
    <w:rsid w:val="005264C0"/>
    <w:rsid w:val="00526A8A"/>
    <w:rsid w:val="00531DF2"/>
    <w:rsid w:val="005442EE"/>
    <w:rsid w:val="005450A6"/>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E6838"/>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2CB2"/>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95C"/>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06DC"/>
    <w:rsid w:val="00F64EF1"/>
    <w:rsid w:val="00F8765F"/>
    <w:rsid w:val="00F87A50"/>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421F1F"/>
    <w:pPr>
      <w:jc w:val="both"/>
    </w:pPr>
    <w:rPr>
      <w:rFonts w:eastAsiaTheme="minorEastAsia"/>
      <w:sz w:val="24"/>
    </w:rPr>
  </w:style>
  <w:style w:type="paragraph" w:styleId="Titolo1">
    <w:name w:val="heading 1"/>
    <w:basedOn w:val="Normale"/>
    <w:next w:val="Normale"/>
    <w:link w:val="Titolo1Carattere"/>
    <w:uiPriority w:val="99"/>
    <w:semiHidden/>
    <w:rsid w:val="00421F1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421F1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421F1F"/>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421F1F"/>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421F1F"/>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421F1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421F1F"/>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421F1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421F1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21F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1F1F"/>
    <w:rPr>
      <w:rFonts w:ascii="Tahoma" w:eastAsiaTheme="minorEastAsia" w:hAnsi="Tahoma" w:cs="Tahoma"/>
      <w:sz w:val="16"/>
      <w:szCs w:val="16"/>
    </w:rPr>
  </w:style>
  <w:style w:type="character" w:styleId="Titolodellibro">
    <w:name w:val="Book Title"/>
    <w:uiPriority w:val="99"/>
    <w:semiHidden/>
    <w:qFormat/>
    <w:rsid w:val="00421F1F"/>
    <w:rPr>
      <w:i/>
      <w:iCs/>
      <w:smallCaps/>
      <w:spacing w:val="5"/>
    </w:rPr>
  </w:style>
  <w:style w:type="paragraph" w:customStyle="1" w:styleId="ECHRHeader">
    <w:name w:val="ECHR_Header"/>
    <w:aliases w:val="Ju_Header"/>
    <w:basedOn w:val="Intestazione"/>
    <w:uiPriority w:val="4"/>
    <w:qFormat/>
    <w:rsid w:val="00421F1F"/>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421F1F"/>
    <w:pPr>
      <w:jc w:val="left"/>
    </w:pPr>
    <w:rPr>
      <w:sz w:val="8"/>
    </w:rPr>
  </w:style>
  <w:style w:type="character" w:styleId="Enfasigrassetto">
    <w:name w:val="Strong"/>
    <w:uiPriority w:val="99"/>
    <w:semiHidden/>
    <w:qFormat/>
    <w:rsid w:val="00421F1F"/>
    <w:rPr>
      <w:b/>
      <w:bCs/>
    </w:rPr>
  </w:style>
  <w:style w:type="paragraph" w:styleId="Nessunaspaziatura">
    <w:name w:val="No Spacing"/>
    <w:basedOn w:val="Normale"/>
    <w:link w:val="NessunaspaziaturaCarattere"/>
    <w:semiHidden/>
    <w:qFormat/>
    <w:rsid w:val="00421F1F"/>
    <w:rPr>
      <w:sz w:val="22"/>
    </w:rPr>
  </w:style>
  <w:style w:type="character" w:customStyle="1" w:styleId="NessunaspaziaturaCarattere">
    <w:name w:val="Nessuna spaziatura Carattere"/>
    <w:basedOn w:val="Carpredefinitoparagrafo"/>
    <w:link w:val="Nessunaspaziatura"/>
    <w:semiHidden/>
    <w:rsid w:val="00421F1F"/>
    <w:rPr>
      <w:rFonts w:eastAsiaTheme="minorEastAsia"/>
    </w:rPr>
  </w:style>
  <w:style w:type="paragraph" w:customStyle="1" w:styleId="ECHRFooterLine">
    <w:name w:val="ECHR_Footer_Line"/>
    <w:aliases w:val="Footer_Line"/>
    <w:basedOn w:val="Normale"/>
    <w:next w:val="ECHRFooter"/>
    <w:uiPriority w:val="57"/>
    <w:semiHidden/>
    <w:rsid w:val="00421F1F"/>
    <w:pPr>
      <w:pBdr>
        <w:top w:val="single" w:sz="6" w:space="1" w:color="5F5F5F"/>
      </w:pBdr>
      <w:tabs>
        <w:tab w:val="center" w:pos="4536"/>
        <w:tab w:val="right" w:pos="9696"/>
      </w:tabs>
      <w:ind w:left="-680" w:right="-680"/>
      <w:jc w:val="left"/>
    </w:pPr>
    <w:rPr>
      <w:color w:val="5F5F5F"/>
    </w:rPr>
  </w:style>
  <w:style w:type="paragraph" w:customStyle="1" w:styleId="ECHRParaQuote">
    <w:name w:val="ECHR_Para_Quote"/>
    <w:aliases w:val="Ju_Quot"/>
    <w:basedOn w:val="Normale"/>
    <w:uiPriority w:val="14"/>
    <w:qFormat/>
    <w:rsid w:val="00421F1F"/>
    <w:pPr>
      <w:spacing w:before="120" w:after="120"/>
      <w:ind w:left="425" w:firstLine="142"/>
    </w:pPr>
    <w:rPr>
      <w:sz w:val="20"/>
    </w:rPr>
  </w:style>
  <w:style w:type="paragraph" w:customStyle="1" w:styleId="JuParaSub">
    <w:name w:val="Ju_Para_Sub"/>
    <w:basedOn w:val="ECHRPara"/>
    <w:uiPriority w:val="13"/>
    <w:qFormat/>
    <w:rsid w:val="00421F1F"/>
    <w:pPr>
      <w:ind w:left="284"/>
    </w:pPr>
  </w:style>
  <w:style w:type="paragraph" w:customStyle="1" w:styleId="JuAppQuestion">
    <w:name w:val="Ju_App_Question"/>
    <w:basedOn w:val="Normale"/>
    <w:uiPriority w:val="5"/>
    <w:qFormat/>
    <w:rsid w:val="00421F1F"/>
    <w:pPr>
      <w:numPr>
        <w:numId w:val="14"/>
      </w:numPr>
      <w:jc w:val="left"/>
    </w:pPr>
    <w:rPr>
      <w:b/>
    </w:rPr>
  </w:style>
  <w:style w:type="paragraph" w:customStyle="1" w:styleId="OpiPara">
    <w:name w:val="Opi_Para"/>
    <w:basedOn w:val="ECHRPara"/>
    <w:uiPriority w:val="46"/>
    <w:semiHidden/>
    <w:qFormat/>
    <w:rsid w:val="00421F1F"/>
  </w:style>
  <w:style w:type="paragraph" w:customStyle="1" w:styleId="OpiParaSub">
    <w:name w:val="Opi_Para_Sub"/>
    <w:basedOn w:val="JuParaSub"/>
    <w:uiPriority w:val="47"/>
    <w:semiHidden/>
    <w:qFormat/>
    <w:rsid w:val="00421F1F"/>
  </w:style>
  <w:style w:type="paragraph" w:customStyle="1" w:styleId="ECHRTitleCentre3">
    <w:name w:val="ECHR_Title_Centre_3"/>
    <w:aliases w:val="Ju_H_Article"/>
    <w:basedOn w:val="Normale"/>
    <w:next w:val="ECHRParaQuote"/>
    <w:uiPriority w:val="27"/>
    <w:qFormat/>
    <w:rsid w:val="00421F1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421F1F"/>
    <w:pPr>
      <w:keepNext/>
      <w:keepLines/>
      <w:spacing w:after="240"/>
      <w:jc w:val="center"/>
      <w:outlineLvl w:val="0"/>
    </w:pPr>
    <w:rPr>
      <w:rFonts w:asciiTheme="majorHAnsi" w:hAnsiTheme="majorHAnsi"/>
      <w:sz w:val="28"/>
    </w:rPr>
  </w:style>
  <w:style w:type="paragraph" w:customStyle="1" w:styleId="OpiQuot">
    <w:name w:val="Opi_Quot"/>
    <w:basedOn w:val="ECHRParaQuote"/>
    <w:uiPriority w:val="48"/>
    <w:semiHidden/>
    <w:qFormat/>
    <w:rsid w:val="00421F1F"/>
  </w:style>
  <w:style w:type="paragraph" w:customStyle="1" w:styleId="ECHRTitle1">
    <w:name w:val="ECHR_Title_1"/>
    <w:aliases w:val="Ju_H_Head"/>
    <w:basedOn w:val="Normale"/>
    <w:next w:val="ECHRPara"/>
    <w:uiPriority w:val="18"/>
    <w:qFormat/>
    <w:rsid w:val="00421F1F"/>
    <w:pPr>
      <w:keepNext/>
      <w:keepLines/>
      <w:spacing w:before="720" w:after="240"/>
      <w:outlineLvl w:val="0"/>
    </w:pPr>
    <w:rPr>
      <w:rFonts w:asciiTheme="majorHAnsi" w:hAnsiTheme="majorHAnsi"/>
      <w:sz w:val="28"/>
    </w:rPr>
  </w:style>
  <w:style w:type="paragraph" w:customStyle="1" w:styleId="OpiQuotSub">
    <w:name w:val="Opi_Quot_Sub"/>
    <w:basedOn w:val="JuQuotSub"/>
    <w:uiPriority w:val="49"/>
    <w:semiHidden/>
    <w:qFormat/>
    <w:rsid w:val="00421F1F"/>
  </w:style>
  <w:style w:type="paragraph" w:styleId="Titolo">
    <w:name w:val="Title"/>
    <w:basedOn w:val="Normale"/>
    <w:next w:val="Normale"/>
    <w:link w:val="TitoloCarattere"/>
    <w:uiPriority w:val="99"/>
    <w:semiHidden/>
    <w:qFormat/>
    <w:rsid w:val="00421F1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421F1F"/>
    <w:rPr>
      <w:rFonts w:asciiTheme="majorHAnsi" w:eastAsiaTheme="majorEastAsia" w:hAnsiTheme="majorHAnsi" w:cstheme="majorBidi"/>
      <w:spacing w:val="5"/>
      <w:sz w:val="52"/>
      <w:szCs w:val="52"/>
      <w:lang w:bidi="en-US"/>
    </w:rPr>
  </w:style>
  <w:style w:type="paragraph" w:customStyle="1" w:styleId="JuCase">
    <w:name w:val="Ju_Case"/>
    <w:basedOn w:val="Normale"/>
    <w:next w:val="ECHRPara"/>
    <w:uiPriority w:val="10"/>
    <w:semiHidden/>
    <w:rsid w:val="00421F1F"/>
    <w:pPr>
      <w:ind w:firstLine="284"/>
    </w:pPr>
    <w:rPr>
      <w:b/>
    </w:rPr>
  </w:style>
  <w:style w:type="paragraph" w:customStyle="1" w:styleId="JuQuotSub">
    <w:name w:val="Ju_Quot_Sub"/>
    <w:basedOn w:val="ECHRParaQuote"/>
    <w:uiPriority w:val="15"/>
    <w:qFormat/>
    <w:rsid w:val="00421F1F"/>
    <w:pPr>
      <w:ind w:left="567"/>
    </w:pPr>
  </w:style>
  <w:style w:type="paragraph" w:customStyle="1" w:styleId="JuInitialled">
    <w:name w:val="Ju_Initialled"/>
    <w:basedOn w:val="Normale"/>
    <w:uiPriority w:val="31"/>
    <w:qFormat/>
    <w:rsid w:val="00421F1F"/>
    <w:pPr>
      <w:tabs>
        <w:tab w:val="center" w:pos="6407"/>
      </w:tabs>
      <w:spacing w:before="720"/>
      <w:jc w:val="right"/>
    </w:pPr>
  </w:style>
  <w:style w:type="paragraph" w:customStyle="1" w:styleId="OpiHA">
    <w:name w:val="Opi_H_A"/>
    <w:basedOn w:val="ECHRHeading1"/>
    <w:next w:val="OpiPara"/>
    <w:uiPriority w:val="41"/>
    <w:semiHidden/>
    <w:qFormat/>
    <w:rsid w:val="00421F1F"/>
    <w:pPr>
      <w:tabs>
        <w:tab w:val="clear" w:pos="357"/>
      </w:tabs>
      <w:outlineLvl w:val="1"/>
    </w:pPr>
    <w:rPr>
      <w:b/>
    </w:rPr>
  </w:style>
  <w:style w:type="character" w:customStyle="1" w:styleId="JUNAMES">
    <w:name w:val="JU_NAMES"/>
    <w:uiPriority w:val="17"/>
    <w:qFormat/>
    <w:rsid w:val="00421F1F"/>
    <w:rPr>
      <w:caps w:val="0"/>
      <w:smallCaps/>
    </w:rPr>
  </w:style>
  <w:style w:type="paragraph" w:customStyle="1" w:styleId="ECHRHeading1">
    <w:name w:val="ECHR_Heading_1"/>
    <w:aliases w:val="Ju_H_I_Roman"/>
    <w:basedOn w:val="Titolo1"/>
    <w:next w:val="ECHRPara"/>
    <w:uiPriority w:val="19"/>
    <w:qFormat/>
    <w:rsid w:val="00421F1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421F1F"/>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421F1F"/>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421F1F"/>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421F1F"/>
    <w:rPr>
      <w:sz w:val="24"/>
    </w:rPr>
  </w:style>
  <w:style w:type="character" w:customStyle="1" w:styleId="Titolo1Carattere">
    <w:name w:val="Titolo 1 Carattere"/>
    <w:basedOn w:val="Carpredefinitoparagrafo"/>
    <w:link w:val="Titolo1"/>
    <w:uiPriority w:val="99"/>
    <w:semiHidden/>
    <w:rsid w:val="00421F1F"/>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421F1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421F1F"/>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421F1F"/>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421F1F"/>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421F1F"/>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421F1F"/>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421F1F"/>
    <w:pPr>
      <w:keepNext/>
      <w:keepLines/>
      <w:spacing w:before="240"/>
      <w:ind w:firstLine="284"/>
    </w:pPr>
  </w:style>
  <w:style w:type="paragraph" w:customStyle="1" w:styleId="DecList">
    <w:name w:val="Dec_List"/>
    <w:basedOn w:val="Normale"/>
    <w:uiPriority w:val="9"/>
    <w:qFormat/>
    <w:rsid w:val="00421F1F"/>
    <w:pPr>
      <w:spacing w:before="240"/>
      <w:ind w:left="284"/>
    </w:pPr>
  </w:style>
  <w:style w:type="character" w:customStyle="1" w:styleId="Titolo4Carattere">
    <w:name w:val="Titolo 4 Carattere"/>
    <w:basedOn w:val="Carpredefinitoparagrafo"/>
    <w:link w:val="Titolo4"/>
    <w:uiPriority w:val="99"/>
    <w:semiHidden/>
    <w:rsid w:val="00421F1F"/>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link w:val="JuJudgesChar"/>
    <w:uiPriority w:val="11"/>
    <w:qFormat/>
    <w:rsid w:val="00421F1F"/>
    <w:pPr>
      <w:tabs>
        <w:tab w:val="left" w:pos="567"/>
        <w:tab w:val="left" w:pos="1134"/>
      </w:tabs>
      <w:jc w:val="left"/>
    </w:pPr>
  </w:style>
  <w:style w:type="character" w:customStyle="1" w:styleId="Titolo5Carattere">
    <w:name w:val="Titolo 5 Carattere"/>
    <w:basedOn w:val="Carpredefinitoparagrafo"/>
    <w:link w:val="Titolo5"/>
    <w:uiPriority w:val="99"/>
    <w:semiHidden/>
    <w:rsid w:val="00421F1F"/>
    <w:rPr>
      <w:rFonts w:asciiTheme="majorHAnsi" w:eastAsiaTheme="majorEastAsia" w:hAnsiTheme="majorHAnsi" w:cstheme="majorBidi"/>
      <w:b/>
      <w:bCs/>
      <w:color w:val="808080"/>
    </w:rPr>
  </w:style>
  <w:style w:type="character" w:customStyle="1" w:styleId="JuITMark">
    <w:name w:val="Ju_ITMark"/>
    <w:basedOn w:val="Carpredefinitoparagrafo"/>
    <w:uiPriority w:val="38"/>
    <w:qFormat/>
    <w:rsid w:val="00421F1F"/>
    <w:rPr>
      <w:vanish w:val="0"/>
      <w:color w:val="auto"/>
      <w:sz w:val="14"/>
    </w:rPr>
  </w:style>
  <w:style w:type="paragraph" w:customStyle="1" w:styleId="OpiTranslation">
    <w:name w:val="Opi_Translation"/>
    <w:basedOn w:val="Normale"/>
    <w:next w:val="OpiPara"/>
    <w:uiPriority w:val="40"/>
    <w:semiHidden/>
    <w:qFormat/>
    <w:rsid w:val="00421F1F"/>
    <w:pPr>
      <w:jc w:val="center"/>
      <w:outlineLvl w:val="0"/>
    </w:pPr>
    <w:rPr>
      <w:i/>
    </w:rPr>
  </w:style>
  <w:style w:type="character" w:styleId="Enfasidelicata">
    <w:name w:val="Subtle Emphasis"/>
    <w:uiPriority w:val="99"/>
    <w:semiHidden/>
    <w:qFormat/>
    <w:rsid w:val="00421F1F"/>
    <w:rPr>
      <w:i/>
      <w:iCs/>
    </w:rPr>
  </w:style>
  <w:style w:type="paragraph" w:customStyle="1" w:styleId="JuCourt">
    <w:name w:val="Ju_Court"/>
    <w:basedOn w:val="Normale"/>
    <w:next w:val="Normale"/>
    <w:uiPriority w:val="16"/>
    <w:qFormat/>
    <w:rsid w:val="00421F1F"/>
    <w:pPr>
      <w:tabs>
        <w:tab w:val="left" w:pos="907"/>
        <w:tab w:val="left" w:pos="1701"/>
        <w:tab w:val="right" w:pos="7371"/>
      </w:tabs>
      <w:spacing w:before="240"/>
      <w:ind w:left="397" w:hanging="397"/>
      <w:jc w:val="left"/>
    </w:pPr>
    <w:rPr>
      <w:lang w:bidi="en-U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
    <w:name w:val="Ju_List"/>
    <w:basedOn w:val="Normale"/>
    <w:uiPriority w:val="28"/>
    <w:qFormat/>
    <w:rsid w:val="00421F1F"/>
    <w:pPr>
      <w:ind w:left="340" w:hanging="340"/>
    </w:pPr>
  </w:style>
  <w:style w:type="paragraph" w:customStyle="1" w:styleId="JuLista">
    <w:name w:val="Ju_List_a"/>
    <w:basedOn w:val="JuList"/>
    <w:uiPriority w:val="28"/>
    <w:qFormat/>
    <w:rsid w:val="00421F1F"/>
    <w:pPr>
      <w:ind w:left="346" w:firstLine="0"/>
    </w:pPr>
  </w:style>
  <w:style w:type="paragraph" w:customStyle="1" w:styleId="ECHRTitleCentre2">
    <w:name w:val="ECHR_Title_Centre_2"/>
    <w:aliases w:val="Dec_H_Case"/>
    <w:basedOn w:val="Normale"/>
    <w:next w:val="ECHRPara"/>
    <w:uiPriority w:val="8"/>
    <w:qFormat/>
    <w:rsid w:val="00421F1F"/>
    <w:pPr>
      <w:spacing w:after="240"/>
      <w:jc w:val="center"/>
      <w:outlineLvl w:val="0"/>
    </w:pPr>
    <w:rPr>
      <w:rFonts w:asciiTheme="majorHAnsi" w:hAnsiTheme="majorHAnsi"/>
    </w:rPr>
  </w:style>
  <w:style w:type="character" w:styleId="Enfasicorsivo">
    <w:name w:val="Emphasis"/>
    <w:uiPriority w:val="99"/>
    <w:semiHidden/>
    <w:qFormat/>
    <w:rsid w:val="00421F1F"/>
    <w:rPr>
      <w:b/>
      <w:bCs/>
      <w:i/>
      <w:iCs/>
      <w:spacing w:val="10"/>
      <w:bdr w:val="none" w:sz="0" w:space="0" w:color="auto"/>
      <w:shd w:val="clear" w:color="auto" w:fill="auto"/>
    </w:rPr>
  </w:style>
  <w:style w:type="paragraph" w:styleId="Pidipagina">
    <w:name w:val="footer"/>
    <w:basedOn w:val="Normale"/>
    <w:link w:val="PidipaginaCarattere"/>
    <w:uiPriority w:val="57"/>
    <w:semiHidden/>
    <w:rsid w:val="00421F1F"/>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421F1F"/>
    <w:rPr>
      <w:sz w:val="24"/>
    </w:rPr>
  </w:style>
  <w:style w:type="character" w:styleId="Rimandonotaapidipagina">
    <w:name w:val="footnote reference"/>
    <w:basedOn w:val="Carpredefinitoparagrafo"/>
    <w:uiPriority w:val="99"/>
    <w:semiHidden/>
    <w:rsid w:val="00421F1F"/>
    <w:rPr>
      <w:vertAlign w:val="superscript"/>
    </w:rPr>
  </w:style>
  <w:style w:type="paragraph" w:styleId="Testonotaapidipagina">
    <w:name w:val="footnote text"/>
    <w:basedOn w:val="Normale"/>
    <w:link w:val="TestonotaapidipaginaCarattere"/>
    <w:uiPriority w:val="99"/>
    <w:semiHidden/>
    <w:rsid w:val="00421F1F"/>
    <w:rPr>
      <w:sz w:val="20"/>
      <w:szCs w:val="20"/>
    </w:rPr>
  </w:style>
  <w:style w:type="character" w:customStyle="1" w:styleId="TestonotaapidipaginaCarattere">
    <w:name w:val="Testo nota a piè di pagina Carattere"/>
    <w:basedOn w:val="Carpredefinitoparagrafo"/>
    <w:link w:val="Testonotaapidipagina"/>
    <w:uiPriority w:val="99"/>
    <w:semiHidden/>
    <w:rsid w:val="00421F1F"/>
    <w:rPr>
      <w:rFonts w:eastAsiaTheme="minorEastAsia"/>
      <w:sz w:val="20"/>
      <w:szCs w:val="20"/>
    </w:rPr>
  </w:style>
  <w:style w:type="character" w:customStyle="1" w:styleId="Titolo6Carattere">
    <w:name w:val="Titolo 6 Carattere"/>
    <w:basedOn w:val="Carpredefinitoparagrafo"/>
    <w:link w:val="Titolo6"/>
    <w:uiPriority w:val="99"/>
    <w:semiHidden/>
    <w:rsid w:val="00421F1F"/>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421F1F"/>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421F1F"/>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421F1F"/>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421F1F"/>
    <w:rPr>
      <w:color w:val="0072BC" w:themeColor="hyperlink"/>
      <w:u w:val="single"/>
    </w:rPr>
  </w:style>
  <w:style w:type="character" w:styleId="Enfasiintensa">
    <w:name w:val="Intense Emphasis"/>
    <w:uiPriority w:val="99"/>
    <w:semiHidden/>
    <w:qFormat/>
    <w:rsid w:val="00421F1F"/>
    <w:rPr>
      <w:b/>
      <w:bCs/>
    </w:rPr>
  </w:style>
  <w:style w:type="paragraph" w:styleId="Citazioneintensa">
    <w:name w:val="Intense Quote"/>
    <w:basedOn w:val="Normale"/>
    <w:next w:val="Normale"/>
    <w:link w:val="CitazioneintensaCarattere"/>
    <w:uiPriority w:val="99"/>
    <w:semiHidden/>
    <w:qFormat/>
    <w:rsid w:val="00421F1F"/>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421F1F"/>
    <w:rPr>
      <w:rFonts w:eastAsiaTheme="minorEastAsia"/>
      <w:b/>
      <w:bCs/>
      <w:i/>
      <w:iCs/>
      <w:lang w:bidi="en-US"/>
    </w:rPr>
  </w:style>
  <w:style w:type="character" w:styleId="Riferimentointenso">
    <w:name w:val="Intense Reference"/>
    <w:uiPriority w:val="99"/>
    <w:semiHidden/>
    <w:qFormat/>
    <w:rsid w:val="00421F1F"/>
    <w:rPr>
      <w:smallCaps/>
      <w:spacing w:val="5"/>
      <w:u w:val="single"/>
    </w:rPr>
  </w:style>
  <w:style w:type="paragraph" w:styleId="Paragrafoelenco">
    <w:name w:val="List Paragraph"/>
    <w:basedOn w:val="Normale"/>
    <w:uiPriority w:val="99"/>
    <w:semiHidden/>
    <w:qFormat/>
    <w:rsid w:val="00421F1F"/>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421F1F"/>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421F1F"/>
    <w:rPr>
      <w:rFonts w:eastAsiaTheme="minorEastAsia"/>
      <w:i/>
      <w:iCs/>
      <w:lang w:bidi="en-US"/>
    </w:rPr>
  </w:style>
  <w:style w:type="character" w:styleId="Riferimentodelicato">
    <w:name w:val="Subtle Reference"/>
    <w:uiPriority w:val="99"/>
    <w:semiHidden/>
    <w:qFormat/>
    <w:rsid w:val="00421F1F"/>
    <w:rPr>
      <w:smallCaps/>
    </w:rPr>
  </w:style>
  <w:style w:type="table" w:styleId="Grigliatabella">
    <w:name w:val="Table Grid"/>
    <w:basedOn w:val="Tabellanormale"/>
    <w:uiPriority w:val="59"/>
    <w:semiHidden/>
    <w:rsid w:val="00421F1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421F1F"/>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421F1F"/>
    <w:pPr>
      <w:spacing w:after="60"/>
      <w:ind w:left="680" w:right="340" w:hanging="340"/>
    </w:pPr>
  </w:style>
  <w:style w:type="paragraph" w:styleId="Sommario3">
    <w:name w:val="toc 3"/>
    <w:basedOn w:val="Normale"/>
    <w:next w:val="Normale"/>
    <w:autoRedefine/>
    <w:uiPriority w:val="99"/>
    <w:semiHidden/>
    <w:rsid w:val="00421F1F"/>
    <w:pPr>
      <w:spacing w:after="60"/>
      <w:ind w:left="1020" w:right="340" w:hanging="340"/>
    </w:pPr>
  </w:style>
  <w:style w:type="paragraph" w:styleId="Sommario4">
    <w:name w:val="toc 4"/>
    <w:basedOn w:val="Normale"/>
    <w:next w:val="Normale"/>
    <w:autoRedefine/>
    <w:uiPriority w:val="99"/>
    <w:semiHidden/>
    <w:rsid w:val="00421F1F"/>
    <w:pPr>
      <w:tabs>
        <w:tab w:val="right" w:leader="dot" w:pos="9017"/>
      </w:tabs>
      <w:spacing w:after="60"/>
      <w:ind w:left="1361" w:right="340" w:hanging="340"/>
    </w:pPr>
  </w:style>
  <w:style w:type="paragraph" w:styleId="Sommario5">
    <w:name w:val="toc 5"/>
    <w:basedOn w:val="Normale"/>
    <w:next w:val="Normale"/>
    <w:autoRedefine/>
    <w:uiPriority w:val="99"/>
    <w:semiHidden/>
    <w:rsid w:val="00421F1F"/>
    <w:pPr>
      <w:spacing w:after="60"/>
      <w:ind w:left="1701" w:right="340" w:hanging="340"/>
    </w:pPr>
  </w:style>
  <w:style w:type="paragraph" w:styleId="Titolosommario">
    <w:name w:val="TOC Heading"/>
    <w:basedOn w:val="Titolo1"/>
    <w:next w:val="Normale"/>
    <w:uiPriority w:val="99"/>
    <w:semiHidden/>
    <w:qFormat/>
    <w:rsid w:val="00421F1F"/>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421F1F"/>
    <w:pPr>
      <w:spacing w:before="120"/>
    </w:pPr>
    <w:rPr>
      <w:rFonts w:asciiTheme="majorHAnsi" w:eastAsiaTheme="majorEastAsia" w:hAnsiTheme="majorHAnsi" w:cstheme="majorBidi"/>
      <w:b/>
      <w:bCs/>
      <w:color w:val="474747" w:themeColor="accent3" w:themeShade="BF"/>
      <w:szCs w:val="24"/>
    </w:rPr>
  </w:style>
  <w:style w:type="paragraph" w:customStyle="1" w:styleId="JuListi">
    <w:name w:val="Ju_List_i"/>
    <w:basedOn w:val="Normale"/>
    <w:next w:val="JuLista"/>
    <w:uiPriority w:val="28"/>
    <w:qFormat/>
    <w:rsid w:val="00421F1F"/>
    <w:pPr>
      <w:ind w:left="794"/>
    </w:pPr>
  </w:style>
  <w:style w:type="paragraph" w:customStyle="1" w:styleId="OpiH1">
    <w:name w:val="Opi_H_1"/>
    <w:basedOn w:val="ECHRHeading2"/>
    <w:uiPriority w:val="42"/>
    <w:semiHidden/>
    <w:qFormat/>
    <w:rsid w:val="00421F1F"/>
    <w:pPr>
      <w:ind w:left="635" w:hanging="357"/>
      <w:outlineLvl w:val="2"/>
    </w:pPr>
  </w:style>
  <w:style w:type="paragraph" w:styleId="Sottotitolo">
    <w:name w:val="Subtitle"/>
    <w:basedOn w:val="Normale"/>
    <w:next w:val="Normale"/>
    <w:link w:val="SottotitoloCarattere"/>
    <w:uiPriority w:val="99"/>
    <w:semiHidden/>
    <w:qFormat/>
    <w:rsid w:val="00421F1F"/>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421F1F"/>
    <w:pPr>
      <w:ind w:firstLine="284"/>
    </w:pPr>
  </w:style>
  <w:style w:type="character" w:customStyle="1" w:styleId="SottotitoloCarattere">
    <w:name w:val="Sottotitolo Carattere"/>
    <w:basedOn w:val="Carpredefinitoparagrafo"/>
    <w:link w:val="Sottotitolo"/>
    <w:uiPriority w:val="99"/>
    <w:semiHidden/>
    <w:rsid w:val="00421F1F"/>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21F1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421F1F"/>
    <w:pPr>
      <w:tabs>
        <w:tab w:val="center" w:pos="851"/>
        <w:tab w:val="center" w:pos="6407"/>
      </w:tabs>
      <w:spacing w:before="720"/>
      <w:jc w:val="left"/>
    </w:pPr>
  </w:style>
  <w:style w:type="paragraph" w:customStyle="1" w:styleId="JuTitle">
    <w:name w:val="Ju_Title"/>
    <w:basedOn w:val="Normale"/>
    <w:next w:val="ECHRPara"/>
    <w:uiPriority w:val="3"/>
    <w:qFormat/>
    <w:rsid w:val="00421F1F"/>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421F1F"/>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uiPriority w:val="99"/>
    <w:semiHidden/>
    <w:rsid w:val="006544C4"/>
    <w:pPr>
      <w:numPr>
        <w:numId w:val="2"/>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uiPriority w:val="99"/>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uiPriority w:val="99"/>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OpiHa0">
    <w:name w:val="Opi_H_a"/>
    <w:basedOn w:val="ECHRHeading3"/>
    <w:uiPriority w:val="43"/>
    <w:semiHidden/>
    <w:qFormat/>
    <w:rsid w:val="00421F1F"/>
    <w:pPr>
      <w:ind w:left="833" w:hanging="357"/>
      <w:outlineLvl w:val="3"/>
    </w:pPr>
    <w:rPr>
      <w:b/>
      <w:i w:val="0"/>
      <w:sz w:val="20"/>
    </w:rPr>
  </w:style>
  <w:style w:type="character" w:customStyle="1" w:styleId="ECHRParaChar">
    <w:name w:val="ECHR_Para Char"/>
    <w:aliases w:val="Ju_Para Char"/>
    <w:basedOn w:val="Carpredefinitoparagrafo"/>
    <w:link w:val="ECHRPara"/>
    <w:uiPriority w:val="12"/>
    <w:rsid w:val="00F606DC"/>
    <w:rPr>
      <w:rFonts w:eastAsiaTheme="minorEastAsia"/>
      <w:sz w:val="24"/>
    </w:rPr>
  </w:style>
  <w:style w:type="character" w:customStyle="1" w:styleId="JuJudgesChar">
    <w:name w:val="Ju_Judges Char"/>
    <w:link w:val="ECHRDecisionBody"/>
    <w:uiPriority w:val="11"/>
    <w:rsid w:val="00421F1F"/>
    <w:rPr>
      <w:rFonts w:eastAsiaTheme="minorEastAsia"/>
      <w:sz w:val="24"/>
    </w:rPr>
  </w:style>
  <w:style w:type="paragraph" w:customStyle="1" w:styleId="OpiHi">
    <w:name w:val="Opi_H_i"/>
    <w:basedOn w:val="ECHRHeading4"/>
    <w:uiPriority w:val="44"/>
    <w:semiHidden/>
    <w:qFormat/>
    <w:rsid w:val="00421F1F"/>
    <w:pPr>
      <w:ind w:left="1037" w:hanging="357"/>
      <w:outlineLvl w:val="4"/>
    </w:pPr>
    <w:rPr>
      <w:b w:val="0"/>
      <w:i/>
    </w:rPr>
  </w:style>
  <w:style w:type="paragraph" w:customStyle="1" w:styleId="DummyStyle">
    <w:name w:val="Dummy_Style"/>
    <w:basedOn w:val="Normale"/>
    <w:semiHidden/>
    <w:qFormat/>
    <w:rsid w:val="00421F1F"/>
    <w:rPr>
      <w:color w:val="00B05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6B45F-B84B-410C-80F0-F0CDEAAB4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53C688-A34D-49E3-8A3E-3E616F7B7019}">
  <ds:schemaRefs>
    <ds:schemaRef ds:uri="http://schemas.microsoft.com/sharepoint/v3/contenttype/forms"/>
  </ds:schemaRefs>
</ds:datastoreItem>
</file>

<file path=customXml/itemProps3.xml><?xml version="1.0" encoding="utf-8"?>
<ds:datastoreItem xmlns:ds="http://schemas.openxmlformats.org/officeDocument/2006/customXml" ds:itemID="{D4349506-2CAA-4266-9AA4-0EBA1509A7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F9DAF8-F6A4-413A-B6EB-A965B055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4055</Words>
  <Characters>23120</Characters>
  <Application>Microsoft Office Word</Application>
  <DocSecurity>0</DocSecurity>
  <Lines>192</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27121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2015-10-23T11:22:00Z</dcterms:created>
  <dcterms:modified xsi:type="dcterms:W3CDTF">2015-10-23T11:22:00Z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70462/13</vt:lpwstr>
  </property>
  <property fmtid="{D5CDD505-2E9C-101B-9397-08002B2CF9AE}" pid="4" name="CASEID">
    <vt:lpwstr>941196</vt:lpwstr>
  </property>
  <property fmtid="{D5CDD505-2E9C-101B-9397-08002B2CF9AE}" pid="5" name="OrigTemp">
    <vt:lpwstr>French\Documents\DF01 Decisions et Rapports\Reports automation IT ONLY\Décision.dotx</vt:lpwstr>
  </property>
  <property fmtid="{D5CDD505-2E9C-101B-9397-08002B2CF9AE}" pid="6" name="ContentTypeId">
    <vt:lpwstr>0x010100558EB02BDB9E204AB350EDD385B68E10</vt:lpwstr>
  </property>
</Properties>
</file>